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spacing w:line="360" w:lineRule="auto"/>
        <w:rPr>
          <w:rFonts w:ascii="Times New Roman" w:hAnsi="Times New Roman" w:cs="Times New Roman"/>
          <w:b/>
          <w:bCs/>
          <w:sz w:val="24"/>
          <w:szCs w:val="32"/>
        </w:rPr>
      </w:pPr>
      <w:bookmarkStart w:id="0" w:name="_GoBack"/>
      <w:bookmarkEnd w:id="0"/>
    </w:p>
    <w:p>
      <w:pPr>
        <w:spacing w:line="360" w:lineRule="auto"/>
        <w:rPr>
          <w:rFonts w:ascii="Times New Roman" w:hAnsi="Times New Roman" w:cs="Times New Roman"/>
          <w:b/>
          <w:bCs/>
          <w:sz w:val="24"/>
          <w:szCs w:val="32"/>
        </w:rPr>
      </w:pPr>
      <w:r>
        <w:rPr>
          <w:rFonts w:ascii="Times New Roman" w:hAnsi="Times New Roman" w:cs="Times New Roman"/>
          <w:b/>
          <w:bCs/>
          <w:sz w:val="24"/>
          <w:szCs w:val="32"/>
        </w:rPr>
        <w:t>附件一:</w:t>
      </w:r>
    </w:p>
    <w:p>
      <w:pPr>
        <w:spacing w:line="360" w:lineRule="auto"/>
        <w:rPr>
          <w:rFonts w:ascii="Times New Roman" w:hAnsi="Times New Roman" w:cs="Times New Roman"/>
          <w:sz w:val="24"/>
          <w:szCs w:val="32"/>
        </w:rPr>
      </w:pPr>
      <w:r>
        <w:rPr>
          <w:rFonts w:ascii="Times New Roman" w:hAnsi="Times New Roman" w:cs="Times New Roman"/>
          <w:sz w:val="24"/>
          <w:szCs w:val="32"/>
        </w:rPr>
        <w:t>一、南京市浦口区新浦路北侧、康华路西侧地块规划设计要点</w:t>
      </w:r>
    </w:p>
    <w:p>
      <w:pPr>
        <w:spacing w:line="360" w:lineRule="auto"/>
        <w:rPr>
          <w:rFonts w:ascii="Times New Roman" w:hAnsi="Times New Roman" w:cs="Times New Roman"/>
          <w:sz w:val="24"/>
          <w:szCs w:val="32"/>
        </w:rPr>
      </w:pPr>
      <w:r>
        <w:rPr>
          <w:rFonts w:ascii="Times New Roman" w:hAnsi="Times New Roman" w:cs="Times New Roman"/>
        </w:rPr>
        <w:drawing>
          <wp:inline distT="0" distB="0" distL="0" distR="0">
            <wp:extent cx="5274310" cy="3799205"/>
            <wp:effectExtent l="0" t="0" r="2540" b="0"/>
            <wp:docPr id="1" name="图片 1" descr="C:\Users\Administrator\AppData\Local\Microsoft\Windows\Temporary Internet Files\Content.Word\新浦路北侧、康华路西侧规划要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Local\Microsoft\Windows\Temporary Internet Files\Content.Word\新浦路北侧、康华路西侧规划要点.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3799483"/>
                    </a:xfrm>
                    <a:prstGeom prst="rect">
                      <a:avLst/>
                    </a:prstGeom>
                    <a:noFill/>
                    <a:ln>
                      <a:noFill/>
                    </a:ln>
                  </pic:spPr>
                </pic:pic>
              </a:graphicData>
            </a:graphic>
          </wp:inline>
        </w:drawing>
      </w:r>
    </w:p>
    <w:p>
      <w:pPr>
        <w:spacing w:line="360" w:lineRule="auto"/>
        <w:rPr>
          <w:rFonts w:ascii="Times New Roman" w:hAnsi="Times New Roman" w:cs="Times New Roman"/>
          <w:sz w:val="24"/>
          <w:szCs w:val="32"/>
        </w:rPr>
      </w:pPr>
      <w:r>
        <w:rPr>
          <w:rFonts w:ascii="Times New Roman" w:hAnsi="Times New Roman" w:cs="Times New Roman"/>
          <w:sz w:val="24"/>
          <w:szCs w:val="32"/>
        </w:rPr>
        <w:t>二、估价对象位置图</w:t>
      </w:r>
    </w:p>
    <w:p>
      <w:pPr>
        <w:spacing w:line="360" w:lineRule="auto"/>
        <w:rPr>
          <w:rFonts w:ascii="Times New Roman" w:hAnsi="Times New Roman" w:cs="Times New Roman"/>
          <w:sz w:val="24"/>
          <w:szCs w:val="32"/>
        </w:rPr>
      </w:pPr>
      <w:r>
        <w:rPr>
          <w:rFonts w:ascii="Times New Roman" w:hAnsi="Times New Roman" w:cs="Times New Roman"/>
        </w:rPr>
        <w:drawing>
          <wp:inline distT="0" distB="0" distL="0" distR="0">
            <wp:extent cx="5274310" cy="3204210"/>
            <wp:effectExtent l="0" t="0" r="2540" b="0"/>
            <wp:docPr id="2" name="图片 2" descr="C:\Users\Administrator\AppData\Local\Microsoft\Windows\Temporary Internet Files\Content.Word\估价对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Local\Microsoft\Windows\Temporary Internet Files\Content.Word\估价对象.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3204287"/>
                    </a:xfrm>
                    <a:prstGeom prst="rect">
                      <a:avLst/>
                    </a:prstGeom>
                    <a:noFill/>
                    <a:ln>
                      <a:noFill/>
                    </a:ln>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r>
        <w:rPr>
          <w:rFonts w:ascii="Times New Roman" w:hAnsi="Times New Roman" w:cs="Times New Roman"/>
          <w:sz w:val="24"/>
          <w:szCs w:val="32"/>
        </w:rPr>
        <w:t>三、估价对象周围环境现状照片</w:t>
      </w:r>
    </w:p>
    <w:p>
      <w:pPr>
        <w:spacing w:line="36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5039360" cy="3281680"/>
            <wp:effectExtent l="0" t="0" r="889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039360" cy="3281680"/>
                    </a:xfrm>
                    <a:prstGeom prst="rect">
                      <a:avLst/>
                    </a:prstGeom>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5039360" cy="3590290"/>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039360" cy="3590290"/>
                    </a:xfrm>
                    <a:prstGeom prst="rect">
                      <a:avLst/>
                    </a:prstGeom>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5039360" cy="36068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039360" cy="3606800"/>
                    </a:xfrm>
                    <a:prstGeom prst="rect">
                      <a:avLst/>
                    </a:prstGeom>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3600450" cy="36004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3600450" cy="36004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600450" cy="3600450"/>
                    </a:xfrm>
                    <a:prstGeom prst="rect">
                      <a:avLst/>
                    </a:prstGeom>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r>
        <w:rPr>
          <w:rFonts w:ascii="Times New Roman" w:hAnsi="Times New Roman" w:cs="Times New Roman"/>
          <w:sz w:val="24"/>
          <w:szCs w:val="32"/>
        </w:rPr>
        <w:drawing>
          <wp:inline distT="0" distB="0" distL="0" distR="0">
            <wp:extent cx="3600450" cy="36195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00450" cy="3619500"/>
                    </a:xfrm>
                    <a:prstGeom prst="rect">
                      <a:avLst/>
                    </a:prstGeom>
                  </pic:spPr>
                </pic:pic>
              </a:graphicData>
            </a:graphic>
          </wp:inline>
        </w:drawing>
      </w:r>
    </w:p>
    <w:p>
      <w:pPr>
        <w:spacing w:line="360" w:lineRule="auto"/>
        <w:rPr>
          <w:rFonts w:ascii="Times New Roman" w:hAnsi="Times New Roman" w:cs="Times New Roman"/>
          <w:sz w:val="24"/>
          <w:szCs w:val="32"/>
        </w:rPr>
      </w:pPr>
    </w:p>
    <w:p>
      <w:pPr>
        <w:spacing w:line="360" w:lineRule="auto"/>
        <w:rPr>
          <w:rFonts w:ascii="Times New Roman" w:hAnsi="Times New Roman" w:cs="Times New Roman"/>
          <w:sz w:val="24"/>
          <w:szCs w:val="32"/>
        </w:rPr>
      </w:pPr>
    </w:p>
    <w:p>
      <w:pPr>
        <w:spacing w:line="360" w:lineRule="auto"/>
        <w:rPr>
          <w:rFonts w:ascii="Times New Roman" w:hAnsi="Times New Roman" w:cs="Times New Roman"/>
          <w:b/>
          <w:bCs/>
          <w:sz w:val="24"/>
          <w:szCs w:val="32"/>
        </w:rPr>
      </w:pPr>
      <w:r>
        <w:rPr>
          <w:rFonts w:ascii="Times New Roman" w:hAnsi="Times New Roman" w:cs="Times New Roman"/>
          <w:b/>
          <w:bCs/>
          <w:sz w:val="24"/>
          <w:szCs w:val="32"/>
        </w:rPr>
        <w:t>附件</w:t>
      </w:r>
      <w:r>
        <w:rPr>
          <w:rFonts w:hint="eastAsia" w:ascii="Times New Roman" w:hAnsi="Times New Roman" w:cs="Times New Roman"/>
          <w:b/>
          <w:bCs/>
          <w:sz w:val="24"/>
          <w:szCs w:val="32"/>
        </w:rPr>
        <w:t>二</w:t>
      </w:r>
      <w:r>
        <w:rPr>
          <w:rFonts w:ascii="Times New Roman" w:hAnsi="Times New Roman" w:cs="Times New Roman"/>
          <w:b/>
          <w:bCs/>
          <w:sz w:val="24"/>
          <w:szCs w:val="32"/>
        </w:rPr>
        <w:t>:</w:t>
      </w:r>
    </w:p>
    <w:p>
      <w:pPr>
        <w:spacing w:line="360" w:lineRule="auto"/>
        <w:jc w:val="center"/>
        <w:rPr>
          <w:rFonts w:ascii="Times New Roman" w:hAnsi="Times New Roman" w:cs="Times New Roman"/>
          <w:sz w:val="36"/>
          <w:szCs w:val="36"/>
        </w:rPr>
      </w:pPr>
      <w:r>
        <w:rPr>
          <w:rFonts w:ascii="Times New Roman" w:hAnsi="Times New Roman" w:cs="Times New Roman"/>
          <w:sz w:val="36"/>
          <w:szCs w:val="36"/>
        </w:rPr>
        <w:t>估 价 委 托 书</w:t>
      </w:r>
    </w:p>
    <w:p>
      <w:pPr>
        <w:spacing w:line="440" w:lineRule="exact"/>
        <w:rPr>
          <w:rFonts w:ascii="Times New Roman" w:hAnsi="Times New Roman" w:cs="Times New Roman"/>
          <w:sz w:val="24"/>
        </w:rPr>
      </w:pPr>
      <w:r>
        <w:rPr>
          <w:rFonts w:ascii="Times New Roman" w:hAnsi="Times New Roman" w:cs="Times New Roman"/>
          <w:sz w:val="24"/>
        </w:rPr>
        <w:t>委   托   人：</w:t>
      </w:r>
      <w:r>
        <w:rPr>
          <w:rFonts w:ascii="Times New Roman" w:hAnsi="Times New Roman" w:cs="Times New Roman"/>
          <w:sz w:val="24"/>
          <w:u w:val="single"/>
        </w:rPr>
        <w:t xml:space="preserve">         南京市浦口区土地储备中心      </w:t>
      </w:r>
      <w:r>
        <w:rPr>
          <w:rFonts w:ascii="Times New Roman" w:hAnsi="Times New Roman" w:cs="Times New Roman"/>
          <w:sz w:val="24"/>
        </w:rPr>
        <w:t>（以下简称甲方）</w:t>
      </w:r>
    </w:p>
    <w:p>
      <w:pPr>
        <w:spacing w:line="440" w:lineRule="exact"/>
        <w:rPr>
          <w:rFonts w:ascii="Times New Roman" w:hAnsi="Times New Roman" w:cs="Times New Roman"/>
          <w:sz w:val="24"/>
        </w:rPr>
      </w:pPr>
      <w:r>
        <w:rPr>
          <w:rFonts w:ascii="Times New Roman" w:hAnsi="Times New Roman" w:cs="Times New Roman"/>
          <w:sz w:val="24"/>
        </w:rPr>
        <w:t>受托估价单位：</w:t>
      </w:r>
      <w:r>
        <w:rPr>
          <w:rFonts w:ascii="Times New Roman" w:hAnsi="Times New Roman" w:cs="Times New Roman"/>
          <w:sz w:val="24"/>
          <w:u w:val="single"/>
        </w:rPr>
        <w:t xml:space="preserve">                                       </w:t>
      </w:r>
      <w:r>
        <w:rPr>
          <w:rFonts w:ascii="Times New Roman" w:hAnsi="Times New Roman" w:cs="Times New Roman"/>
          <w:sz w:val="24"/>
        </w:rPr>
        <w:t>（以下简称乙方）</w:t>
      </w:r>
    </w:p>
    <w:p>
      <w:pPr>
        <w:spacing w:line="440" w:lineRule="exact"/>
        <w:ind w:firstLine="480"/>
        <w:rPr>
          <w:rFonts w:ascii="Times New Roman" w:hAnsi="Times New Roman" w:cs="Times New Roman"/>
          <w:sz w:val="24"/>
        </w:rPr>
      </w:pPr>
      <w:r>
        <w:rPr>
          <w:rFonts w:ascii="Times New Roman" w:hAnsi="Times New Roman" w:cs="Times New Roman"/>
          <w:sz w:val="24"/>
        </w:rPr>
        <w:t>经甲、乙双方友好协商，达成协议如下：</w:t>
      </w:r>
    </w:p>
    <w:p>
      <w:pPr>
        <w:spacing w:line="440" w:lineRule="exact"/>
        <w:ind w:firstLine="480"/>
        <w:rPr>
          <w:rFonts w:ascii="Times New Roman" w:hAnsi="Times New Roman" w:cs="Times New Roman"/>
          <w:sz w:val="24"/>
        </w:rPr>
      </w:pPr>
      <w:r>
        <w:rPr>
          <w:rFonts w:ascii="Times New Roman" w:hAnsi="Times New Roman" w:cs="Times New Roman"/>
          <w:sz w:val="24"/>
        </w:rPr>
        <w:t>一、委托的具体内容</w:t>
      </w:r>
    </w:p>
    <w:p>
      <w:pPr>
        <w:spacing w:line="440" w:lineRule="exact"/>
        <w:ind w:firstLine="480"/>
        <w:rPr>
          <w:rFonts w:ascii="Times New Roman" w:hAnsi="Times New Roman" w:cs="Times New Roman"/>
          <w:sz w:val="24"/>
        </w:rPr>
      </w:pPr>
      <w:r>
        <w:rPr>
          <w:rFonts w:ascii="Times New Roman" w:hAnsi="Times New Roman" w:cs="Times New Roman"/>
          <w:sz w:val="24"/>
        </w:rPr>
        <w:t>1.估价对象：</w:t>
      </w:r>
      <w:r>
        <w:rPr>
          <w:rFonts w:ascii="Times New Roman" w:hAnsi="Times New Roman" w:cs="Times New Roman"/>
          <w:sz w:val="24"/>
          <w:u w:val="single"/>
        </w:rPr>
        <w:t>位于浦口区江浦街道新浦路北侧、康华路西侧地块，土地面积51751.81㎡。</w:t>
      </w:r>
    </w:p>
    <w:p>
      <w:pPr>
        <w:spacing w:line="440" w:lineRule="exact"/>
        <w:ind w:firstLine="480"/>
        <w:rPr>
          <w:rFonts w:ascii="Times New Roman" w:hAnsi="Times New Roman" w:cs="Times New Roman"/>
          <w:sz w:val="24"/>
          <w:u w:val="single"/>
        </w:rPr>
      </w:pPr>
      <w:r>
        <w:rPr>
          <w:rFonts w:ascii="Times New Roman" w:hAnsi="Times New Roman" w:cs="Times New Roman"/>
          <w:sz w:val="24"/>
        </w:rPr>
        <w:t>2.估价目的：</w:t>
      </w:r>
      <w:r>
        <w:rPr>
          <w:rFonts w:ascii="Times New Roman" w:hAnsi="Times New Roman" w:cs="Times New Roman"/>
          <w:sz w:val="24"/>
          <w:u w:val="single"/>
        </w:rPr>
        <w:t xml:space="preserve">             出让。             </w:t>
      </w:r>
    </w:p>
    <w:p>
      <w:pPr>
        <w:spacing w:line="440" w:lineRule="exact"/>
        <w:ind w:firstLine="480"/>
        <w:rPr>
          <w:rFonts w:ascii="Times New Roman" w:hAnsi="Times New Roman" w:cs="Times New Roman"/>
          <w:sz w:val="24"/>
          <w:u w:val="single"/>
        </w:rPr>
      </w:pPr>
      <w:r>
        <w:rPr>
          <w:rFonts w:ascii="Times New Roman" w:hAnsi="Times New Roman" w:cs="Times New Roman"/>
          <w:sz w:val="24"/>
        </w:rPr>
        <w:t>3.价值时点：</w:t>
      </w:r>
      <w:r>
        <w:rPr>
          <w:rFonts w:ascii="Times New Roman" w:hAnsi="Times New Roman" w:cs="Times New Roman"/>
          <w:sz w:val="24"/>
          <w:u w:val="single"/>
        </w:rPr>
        <w:t xml:space="preserve">       2016年5月30日。       </w:t>
      </w:r>
    </w:p>
    <w:p>
      <w:pPr>
        <w:spacing w:line="440" w:lineRule="exact"/>
        <w:ind w:firstLine="480"/>
        <w:rPr>
          <w:rFonts w:ascii="Times New Roman" w:hAnsi="Times New Roman" w:cs="Times New Roman"/>
          <w:sz w:val="24"/>
          <w:u w:val="single"/>
        </w:rPr>
      </w:pPr>
      <w:r>
        <w:rPr>
          <w:rFonts w:ascii="Times New Roman" w:hAnsi="Times New Roman" w:cs="Times New Roman"/>
          <w:sz w:val="24"/>
        </w:rPr>
        <w:t>4..其他事项：</w:t>
      </w:r>
      <w:r>
        <w:rPr>
          <w:rFonts w:ascii="Times New Roman" w:hAnsi="Times New Roman" w:cs="Times New Roman"/>
          <w:sz w:val="24"/>
          <w:u w:val="single"/>
        </w:rPr>
        <w:t xml:space="preserve"> </w:t>
      </w:r>
      <w:r>
        <w:rPr>
          <w:rFonts w:hint="eastAsia" w:ascii="Times New Roman" w:hAnsi="Times New Roman" w:cs="Times New Roman"/>
          <w:sz w:val="24"/>
          <w:u w:val="single"/>
        </w:rPr>
        <w:t>估价对象基础设施条件、实际现状（估价对象现状照片）等描述不明确、不完整或不相符时以“南京市规划局建设项目规划设计要点”为准。</w:t>
      </w:r>
      <w:r>
        <w:rPr>
          <w:rFonts w:ascii="Times New Roman" w:hAnsi="Times New Roman" w:cs="Times New Roman"/>
          <w:sz w:val="24"/>
          <w:u w:val="single"/>
        </w:rPr>
        <w:t xml:space="preserve">                     </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二、甲方责任和义务</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1.向乙方提供所需的一切评估资料并保证资料的真实性、合法性、完整性。</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2.未经乙方同意，不得将评估报告内容提供给报告审查部门之外的第三方或发表于公开媒体。</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三、乙方责任和义务</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1.本着独立、客观、公正的原则进行评估。</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2.经甲乙双方协商，酌情确定提交报告日期。</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3.对甲方商业秘密严加保密。</w:t>
      </w:r>
    </w:p>
    <w:p>
      <w:pPr>
        <w:spacing w:line="440" w:lineRule="exact"/>
        <w:ind w:firstLine="480" w:firstLineChars="200"/>
        <w:rPr>
          <w:rFonts w:ascii="Times New Roman" w:hAnsi="Times New Roman" w:cs="Times New Roman"/>
          <w:sz w:val="24"/>
        </w:rPr>
      </w:pPr>
      <w:r>
        <w:rPr>
          <w:rFonts w:ascii="Times New Roman" w:hAnsi="Times New Roman" w:cs="Times New Roman"/>
          <w:sz w:val="24"/>
        </w:rPr>
        <w:t>四、评估费用按国家相关规定文件标准。</w:t>
      </w:r>
    </w:p>
    <w:p>
      <w:pPr>
        <w:spacing w:after="312" w:afterLines="100" w:line="440" w:lineRule="exact"/>
        <w:ind w:firstLine="480" w:firstLineChars="200"/>
        <w:rPr>
          <w:rFonts w:ascii="Times New Roman" w:hAnsi="Times New Roman" w:cs="Times New Roman"/>
          <w:sz w:val="24"/>
          <w:u w:val="single"/>
        </w:rPr>
      </w:pPr>
      <w:r>
        <w:rPr>
          <w:rFonts w:ascii="Times New Roman" w:hAnsi="Times New Roman" w:cs="Times New Roman"/>
          <w:sz w:val="24"/>
        </w:rPr>
        <w:t>五、约定的其他事宜：</w:t>
      </w:r>
      <w:r>
        <w:rPr>
          <w:rFonts w:ascii="Times New Roman" w:hAnsi="Times New Roman" w:cs="Times New Roman"/>
          <w:sz w:val="24"/>
          <w:u w:val="single"/>
        </w:rPr>
        <w:t xml:space="preserve">                                   </w:t>
      </w:r>
    </w:p>
    <w:tbl>
      <w:tblPr>
        <w:tblStyle w:val="11"/>
        <w:tblW w:w="87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3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360" w:type="dxa"/>
          </w:tcPr>
          <w:p>
            <w:pPr>
              <w:spacing w:line="440" w:lineRule="exact"/>
              <w:rPr>
                <w:rFonts w:ascii="Times New Roman" w:hAnsi="Times New Roman" w:cs="Times New Roman"/>
                <w:sz w:val="24"/>
              </w:rPr>
            </w:pPr>
            <w:r>
              <w:rPr>
                <w:rFonts w:ascii="Times New Roman" w:hAnsi="Times New Roman" w:cs="Times New Roman"/>
                <w:sz w:val="24"/>
              </w:rPr>
              <w:t>委托单位：</w:t>
            </w:r>
          </w:p>
          <w:p>
            <w:pPr>
              <w:spacing w:line="440" w:lineRule="exact"/>
              <w:rPr>
                <w:rFonts w:ascii="Times New Roman" w:hAnsi="Times New Roman" w:cs="Times New Roman"/>
                <w:sz w:val="24"/>
              </w:rPr>
            </w:pPr>
            <w:r>
              <w:rPr>
                <w:rFonts w:ascii="Times New Roman" w:hAnsi="Times New Roman" w:cs="Times New Roman"/>
                <w:sz w:val="24"/>
              </w:rPr>
              <w:t>南京市浦口区土地储备中心</w:t>
            </w:r>
          </w:p>
          <w:p>
            <w:pPr>
              <w:spacing w:line="440" w:lineRule="exact"/>
              <w:rPr>
                <w:rFonts w:ascii="Times New Roman" w:hAnsi="Times New Roman" w:cs="Times New Roman"/>
                <w:sz w:val="24"/>
              </w:rPr>
            </w:pPr>
            <w:r>
              <w:rPr>
                <w:rFonts w:ascii="Times New Roman" w:hAnsi="Times New Roman" w:cs="Times New Roman"/>
                <w:sz w:val="24"/>
              </w:rPr>
              <w:t>地址：</w:t>
            </w:r>
            <w:r>
              <w:rPr>
                <w:rFonts w:hint="eastAsia" w:ascii="Times New Roman" w:hAnsi="Times New Roman" w:cs="Times New Roman"/>
                <w:sz w:val="24"/>
              </w:rPr>
              <w:t>南京市浦口区浦珠路58号</w:t>
            </w:r>
          </w:p>
          <w:p>
            <w:pPr>
              <w:spacing w:line="440" w:lineRule="exact"/>
              <w:rPr>
                <w:rFonts w:ascii="Times New Roman" w:hAnsi="Times New Roman" w:cs="Times New Roman"/>
                <w:sz w:val="24"/>
              </w:rPr>
            </w:pPr>
            <w:r>
              <w:rPr>
                <w:rFonts w:ascii="Times New Roman" w:hAnsi="Times New Roman" w:cs="Times New Roman"/>
                <w:sz w:val="24"/>
              </w:rPr>
              <w:t>联系人：</w:t>
            </w:r>
            <w:r>
              <w:rPr>
                <w:rFonts w:hint="eastAsia" w:ascii="Times New Roman" w:hAnsi="Times New Roman" w:cs="Times New Roman"/>
                <w:sz w:val="24"/>
              </w:rPr>
              <w:t>涂委古</w:t>
            </w:r>
          </w:p>
          <w:p>
            <w:pPr>
              <w:spacing w:line="440" w:lineRule="exact"/>
              <w:rPr>
                <w:rFonts w:ascii="Times New Roman" w:hAnsi="Times New Roman" w:cs="Times New Roman"/>
                <w:sz w:val="24"/>
              </w:rPr>
            </w:pPr>
            <w:r>
              <w:rPr>
                <w:rFonts w:ascii="Times New Roman" w:hAnsi="Times New Roman" w:cs="Times New Roman"/>
                <w:sz w:val="24"/>
              </w:rPr>
              <w:t>联系人电话：025-</w:t>
            </w:r>
            <w:r>
              <w:rPr>
                <w:rFonts w:hint="eastAsia" w:ascii="Times New Roman" w:hAnsi="Times New Roman" w:cs="Times New Roman"/>
                <w:sz w:val="24"/>
              </w:rPr>
              <w:t>88188888</w:t>
            </w:r>
          </w:p>
          <w:p>
            <w:pPr>
              <w:spacing w:line="440" w:lineRule="exact"/>
              <w:rPr>
                <w:rFonts w:ascii="Times New Roman" w:hAnsi="Times New Roman" w:cs="Times New Roman"/>
                <w:sz w:val="24"/>
              </w:rPr>
            </w:pPr>
            <w:r>
              <w:rPr>
                <w:rFonts w:ascii="Times New Roman" w:hAnsi="Times New Roman" w:cs="Times New Roman"/>
                <w:sz w:val="24"/>
              </w:rPr>
              <w:t xml:space="preserve">邮政编码：210038 </w:t>
            </w:r>
          </w:p>
          <w:p>
            <w:pPr>
              <w:spacing w:line="440" w:lineRule="exact"/>
              <w:rPr>
                <w:rFonts w:ascii="Times New Roman" w:hAnsi="Times New Roman" w:cs="Times New Roman"/>
                <w:sz w:val="24"/>
              </w:rPr>
            </w:pPr>
            <w:r>
              <w:rPr>
                <w:rFonts w:ascii="Times New Roman" w:hAnsi="Times New Roman" w:cs="Times New Roman"/>
                <w:sz w:val="24"/>
              </w:rPr>
              <w:t xml:space="preserve">2016年5月30日  </w:t>
            </w:r>
          </w:p>
        </w:tc>
        <w:tc>
          <w:tcPr>
            <w:tcW w:w="4360" w:type="dxa"/>
          </w:tcPr>
          <w:p>
            <w:pPr>
              <w:spacing w:line="440" w:lineRule="exact"/>
              <w:rPr>
                <w:rFonts w:ascii="Times New Roman" w:hAnsi="Times New Roman" w:cs="Times New Roman"/>
                <w:sz w:val="24"/>
              </w:rPr>
            </w:pPr>
            <w:r>
              <w:rPr>
                <w:rFonts w:ascii="Times New Roman" w:hAnsi="Times New Roman" w:cs="Times New Roman"/>
                <w:sz w:val="24"/>
              </w:rPr>
              <w:t>受托单位：</w:t>
            </w:r>
          </w:p>
          <w:p>
            <w:pPr>
              <w:spacing w:line="440" w:lineRule="exact"/>
              <w:rPr>
                <w:rFonts w:ascii="Times New Roman" w:hAnsi="Times New Roman" w:cs="Times New Roman"/>
                <w:sz w:val="24"/>
              </w:rPr>
            </w:pPr>
          </w:p>
          <w:p>
            <w:pPr>
              <w:spacing w:line="440" w:lineRule="exact"/>
              <w:rPr>
                <w:rFonts w:ascii="Times New Roman" w:hAnsi="Times New Roman" w:cs="Times New Roman"/>
                <w:sz w:val="24"/>
              </w:rPr>
            </w:pPr>
            <w:r>
              <w:rPr>
                <w:rFonts w:ascii="Times New Roman" w:hAnsi="Times New Roman" w:cs="Times New Roman"/>
                <w:sz w:val="24"/>
              </w:rPr>
              <w:t>地址：</w:t>
            </w:r>
          </w:p>
          <w:p>
            <w:pPr>
              <w:spacing w:line="440" w:lineRule="exact"/>
              <w:rPr>
                <w:rFonts w:ascii="Times New Roman" w:hAnsi="Times New Roman" w:cs="Times New Roman"/>
                <w:sz w:val="24"/>
              </w:rPr>
            </w:pPr>
            <w:r>
              <w:rPr>
                <w:rFonts w:ascii="Times New Roman" w:hAnsi="Times New Roman" w:cs="Times New Roman"/>
                <w:sz w:val="24"/>
              </w:rPr>
              <w:t>联系人：</w:t>
            </w:r>
          </w:p>
          <w:p>
            <w:pPr>
              <w:spacing w:line="440" w:lineRule="exact"/>
              <w:rPr>
                <w:rFonts w:ascii="Times New Roman" w:hAnsi="Times New Roman" w:cs="Times New Roman"/>
                <w:sz w:val="24"/>
              </w:rPr>
            </w:pPr>
            <w:r>
              <w:rPr>
                <w:rFonts w:ascii="Times New Roman" w:hAnsi="Times New Roman" w:cs="Times New Roman"/>
                <w:sz w:val="24"/>
              </w:rPr>
              <w:t>联系人电话：</w:t>
            </w:r>
          </w:p>
          <w:p>
            <w:pPr>
              <w:spacing w:line="440" w:lineRule="exact"/>
              <w:rPr>
                <w:rFonts w:ascii="Times New Roman" w:hAnsi="Times New Roman" w:cs="Times New Roman"/>
                <w:sz w:val="24"/>
              </w:rPr>
            </w:pPr>
            <w:r>
              <w:rPr>
                <w:rFonts w:ascii="Times New Roman" w:hAnsi="Times New Roman" w:cs="Times New Roman"/>
                <w:sz w:val="24"/>
              </w:rPr>
              <w:t>邮政编码：</w:t>
            </w:r>
          </w:p>
          <w:p>
            <w:pPr>
              <w:spacing w:line="440" w:lineRule="exact"/>
              <w:rPr>
                <w:rFonts w:ascii="Times New Roman" w:hAnsi="Times New Roman" w:cs="Times New Roman"/>
                <w:sz w:val="24"/>
              </w:rPr>
            </w:pPr>
            <w:r>
              <w:rPr>
                <w:rFonts w:ascii="Times New Roman" w:hAnsi="Times New Roman" w:cs="Times New Roman"/>
                <w:sz w:val="24"/>
              </w:rPr>
              <w:t>2016年 5月30日</w:t>
            </w:r>
          </w:p>
        </w:tc>
      </w:tr>
    </w:tbl>
    <w:p>
      <w:pPr>
        <w:spacing w:line="360" w:lineRule="auto"/>
        <w:rPr>
          <w:rFonts w:ascii="Times New Roman" w:hAnsi="Times New Roman" w:cs="Times New Roman"/>
          <w:b/>
          <w:bCs/>
          <w:sz w:val="24"/>
          <w:szCs w:val="32"/>
        </w:rPr>
      </w:pPr>
    </w:p>
    <w:p>
      <w:pPr>
        <w:spacing w:line="360" w:lineRule="auto"/>
        <w:rPr>
          <w:rFonts w:ascii="Times New Roman" w:hAnsi="Times New Roman" w:cs="Times New Roman"/>
          <w:b/>
          <w:bCs/>
          <w:sz w:val="24"/>
          <w:szCs w:val="32"/>
        </w:rPr>
      </w:pPr>
      <w:r>
        <w:rPr>
          <w:rFonts w:ascii="Times New Roman" w:hAnsi="Times New Roman" w:cs="Times New Roman"/>
          <w:b/>
          <w:bCs/>
          <w:sz w:val="24"/>
          <w:szCs w:val="32"/>
        </w:rPr>
        <w:t>附件</w:t>
      </w:r>
      <w:r>
        <w:rPr>
          <w:rFonts w:hint="eastAsia" w:ascii="Times New Roman" w:hAnsi="Times New Roman" w:cs="Times New Roman"/>
          <w:b/>
          <w:bCs/>
          <w:sz w:val="24"/>
          <w:szCs w:val="32"/>
        </w:rPr>
        <w:t>三</w:t>
      </w:r>
      <w:r>
        <w:rPr>
          <w:rFonts w:ascii="Times New Roman" w:hAnsi="Times New Roman" w:cs="Times New Roman"/>
          <w:b/>
          <w:bCs/>
          <w:sz w:val="24"/>
          <w:szCs w:val="32"/>
        </w:rPr>
        <w:t>:</w:t>
      </w:r>
    </w:p>
    <w:p>
      <w:pPr>
        <w:spacing w:line="360" w:lineRule="auto"/>
        <w:jc w:val="center"/>
        <w:rPr>
          <w:rFonts w:ascii="Times New Roman" w:hAnsi="Times New Roman" w:cs="Times New Roman"/>
          <w:bCs/>
          <w:sz w:val="24"/>
          <w:szCs w:val="32"/>
        </w:rPr>
      </w:pPr>
      <w:r>
        <w:rPr>
          <w:rFonts w:hint="eastAsia" w:ascii="Times New Roman" w:hAnsi="Times New Roman" w:cs="Times New Roman"/>
          <w:bCs/>
          <w:sz w:val="24"/>
          <w:szCs w:val="32"/>
        </w:rPr>
        <w:t>房地产估价机构资质证书复印件（供个人类使用）</w:t>
      </w:r>
    </w:p>
    <w:p>
      <w:pPr>
        <w:spacing w:line="360" w:lineRule="auto"/>
        <w:rPr>
          <w:rFonts w:ascii="Times New Roman" w:hAnsi="Times New Roman" w:cs="Times New Roman"/>
          <w:sz w:val="24"/>
          <w:szCs w:val="32"/>
        </w:rPr>
      </w:pPr>
      <w:r>
        <w:rPr>
          <w:rFonts w:ascii="Times New Roman" w:hAnsi="Times New Roman" w:cs="Times New Roman"/>
          <w:bCs/>
          <w:sz w:val="24"/>
          <w:szCs w:val="32"/>
        </w:rPr>
        <w:drawing>
          <wp:inline distT="0" distB="0" distL="0" distR="0">
            <wp:extent cx="5400040" cy="743267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7432675"/>
                    </a:xfrm>
                    <a:prstGeom prst="rect">
                      <a:avLst/>
                    </a:prstGeom>
                  </pic:spPr>
                </pic:pic>
              </a:graphicData>
            </a:graphic>
          </wp:inline>
        </w:drawing>
      </w:r>
    </w:p>
    <w:p>
      <w:pPr>
        <w:widowControl/>
        <w:jc w:val="left"/>
        <w:rPr>
          <w:rFonts w:ascii="Times New Roman" w:hAnsi="Times New Roman" w:cs="Times New Roman"/>
          <w:sz w:val="24"/>
          <w:szCs w:val="32"/>
        </w:rPr>
        <w:sectPr>
          <w:footerReference r:id="rId3" w:type="default"/>
          <w:pgSz w:w="11906" w:h="16838"/>
          <w:pgMar w:top="1440" w:right="1418" w:bottom="1134" w:left="1418" w:header="851" w:footer="992" w:gutter="0"/>
          <w:cols w:space="425" w:num="1"/>
          <w:docGrid w:type="lines" w:linePitch="312" w:charSpace="0"/>
        </w:sectPr>
      </w:pPr>
    </w:p>
    <w:p>
      <w:pPr>
        <w:rPr>
          <w:rFonts w:ascii="Times New Roman" w:hAnsi="Times New Roman" w:cs="Times New Roman"/>
          <w:b/>
          <w:bCs/>
          <w:sz w:val="28"/>
          <w:szCs w:val="36"/>
        </w:rPr>
      </w:pPr>
      <w:r>
        <w:rPr>
          <w:rFonts w:ascii="Times New Roman" w:hAnsi="Times New Roman" w:cs="Times New Roman"/>
          <w:b/>
          <w:bCs/>
          <w:sz w:val="28"/>
          <w:szCs w:val="36"/>
        </w:rPr>
        <w:t>附件</w:t>
      </w:r>
      <w:r>
        <w:rPr>
          <w:rFonts w:hint="eastAsia" w:ascii="Times New Roman" w:hAnsi="Times New Roman" w:cs="Times New Roman"/>
          <w:b/>
          <w:bCs/>
          <w:sz w:val="28"/>
          <w:szCs w:val="36"/>
        </w:rPr>
        <w:t>四</w:t>
      </w:r>
      <w:r>
        <w:rPr>
          <w:rFonts w:ascii="Times New Roman" w:hAnsi="Times New Roman" w:cs="Times New Roman"/>
          <w:b/>
          <w:bCs/>
          <w:sz w:val="28"/>
          <w:szCs w:val="36"/>
        </w:rPr>
        <w:t>:</w:t>
      </w:r>
    </w:p>
    <w:p>
      <w:pPr>
        <w:jc w:val="center"/>
        <w:rPr>
          <w:rFonts w:ascii="Times New Roman" w:hAnsi="Times New Roman" w:cs="Times New Roman"/>
          <w:sz w:val="32"/>
          <w:szCs w:val="32"/>
        </w:rPr>
      </w:pPr>
      <w:r>
        <w:rPr>
          <w:rFonts w:ascii="Times New Roman" w:hAnsi="Times New Roman" w:cs="Times New Roman"/>
          <w:sz w:val="32"/>
          <w:szCs w:val="32"/>
        </w:rPr>
        <w:t>南京市规划局建设项目规划设计要点</w:t>
      </w:r>
    </w:p>
    <w:tbl>
      <w:tblPr>
        <w:tblStyle w:val="11"/>
        <w:tblW w:w="14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881"/>
        <w:gridCol w:w="1967"/>
        <w:gridCol w:w="1731"/>
        <w:gridCol w:w="1938"/>
        <w:gridCol w:w="1662"/>
        <w:gridCol w:w="1615"/>
        <w:gridCol w:w="1408"/>
        <w:gridCol w:w="1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trPr>
        <w:tc>
          <w:tcPr>
            <w:tcW w:w="2434" w:type="dxa"/>
            <w:gridSpan w:val="2"/>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建设单位</w:t>
            </w:r>
          </w:p>
        </w:tc>
        <w:tc>
          <w:tcPr>
            <w:tcW w:w="12046" w:type="dxa"/>
            <w:gridSpan w:val="7"/>
          </w:tcPr>
          <w:p>
            <w:pPr>
              <w:spacing w:line="260" w:lineRule="exact"/>
              <w:rPr>
                <w:rFonts w:cs="Times New Roman" w:asciiTheme="minorEastAsia" w:hAnsiTheme="minorEastAsia"/>
                <w:sz w:val="22"/>
                <w:szCs w:val="22"/>
              </w:rPr>
            </w:pPr>
            <w:r>
              <w:rPr>
                <w:rFonts w:cs="Times New Roman" w:asciiTheme="minorEastAsia" w:hAnsiTheme="minorEastAsia"/>
                <w:sz w:val="22"/>
                <w:szCs w:val="22"/>
              </w:rPr>
              <w:t>南京市浦口区土地储备中心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2434" w:type="dxa"/>
            <w:gridSpan w:val="2"/>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项目名称</w:t>
            </w:r>
          </w:p>
        </w:tc>
        <w:tc>
          <w:tcPr>
            <w:tcW w:w="12046" w:type="dxa"/>
            <w:gridSpan w:val="7"/>
          </w:tcPr>
          <w:p>
            <w:pPr>
              <w:spacing w:line="260" w:lineRule="exact"/>
              <w:rPr>
                <w:rFonts w:cs="Times New Roman" w:asciiTheme="minorEastAsia" w:hAnsiTheme="minorEastAsia"/>
                <w:sz w:val="22"/>
                <w:szCs w:val="22"/>
              </w:rPr>
            </w:pPr>
            <w:r>
              <w:rPr>
                <w:rFonts w:cs="Times New Roman" w:asciiTheme="minorEastAsia" w:hAnsiTheme="minorEastAsia"/>
                <w:sz w:val="22"/>
                <w:szCs w:val="22"/>
              </w:rPr>
              <w:t>新浦路北侧、康华路西侧地块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434" w:type="dxa"/>
            <w:gridSpan w:val="2"/>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建设地点</w:t>
            </w:r>
          </w:p>
        </w:tc>
        <w:tc>
          <w:tcPr>
            <w:tcW w:w="12046" w:type="dxa"/>
            <w:gridSpan w:val="7"/>
          </w:tcPr>
          <w:p>
            <w:pPr>
              <w:spacing w:line="260" w:lineRule="exact"/>
              <w:rPr>
                <w:rFonts w:cs="Times New Roman" w:asciiTheme="minorEastAsia" w:hAnsiTheme="minorEastAsia"/>
                <w:sz w:val="22"/>
                <w:szCs w:val="22"/>
              </w:rPr>
            </w:pPr>
            <w:r>
              <w:rPr>
                <w:rFonts w:cs="Times New Roman" w:asciiTheme="minorEastAsia" w:hAnsiTheme="minorEastAsia"/>
                <w:sz w:val="22"/>
                <w:szCs w:val="22"/>
              </w:rPr>
              <w:t>南京市浦口区江浦街道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规划指标</w:t>
            </w: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分区编号</w:t>
            </w:r>
          </w:p>
        </w:tc>
        <w:tc>
          <w:tcPr>
            <w:tcW w:w="1967"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用地性质</w:t>
            </w:r>
          </w:p>
        </w:tc>
        <w:tc>
          <w:tcPr>
            <w:tcW w:w="173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用地面积（M</w:t>
            </w:r>
            <w:r>
              <w:rPr>
                <w:rFonts w:cs="Times New Roman" w:asciiTheme="minorEastAsia" w:hAnsiTheme="minorEastAsia"/>
                <w:sz w:val="22"/>
                <w:szCs w:val="22"/>
                <w:vertAlign w:val="superscript"/>
              </w:rPr>
              <w:t>2</w:t>
            </w:r>
            <w:r>
              <w:rPr>
                <w:rFonts w:cs="Times New Roman" w:asciiTheme="minorEastAsia" w:hAnsiTheme="minorEastAsia"/>
                <w:sz w:val="22"/>
                <w:szCs w:val="22"/>
              </w:rPr>
              <w:t>）</w:t>
            </w:r>
          </w:p>
        </w:tc>
        <w:tc>
          <w:tcPr>
            <w:tcW w:w="193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容积率</w:t>
            </w:r>
          </w:p>
        </w:tc>
        <w:tc>
          <w:tcPr>
            <w:tcW w:w="1662"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建筑高度（M）</w:t>
            </w:r>
          </w:p>
        </w:tc>
        <w:tc>
          <w:tcPr>
            <w:tcW w:w="161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建筑密度（%）</w:t>
            </w:r>
          </w:p>
        </w:tc>
        <w:tc>
          <w:tcPr>
            <w:tcW w:w="140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绿地率（%）</w:t>
            </w:r>
          </w:p>
        </w:tc>
        <w:tc>
          <w:tcPr>
            <w:tcW w:w="172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集中绿地（M</w:t>
            </w:r>
            <w:r>
              <w:rPr>
                <w:rFonts w:cs="Times New Roman" w:asciiTheme="minorEastAsia" w:hAnsiTheme="minorEastAsia"/>
                <w:sz w:val="22"/>
                <w:szCs w:val="22"/>
                <w:vertAlign w:val="superscript"/>
              </w:rPr>
              <w:t>2</w:t>
            </w:r>
            <w:r>
              <w:rPr>
                <w:rFonts w:cs="Times New Roman" w:asciiTheme="minorEastAsia" w:hAnsi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A</w:t>
            </w:r>
          </w:p>
        </w:tc>
        <w:tc>
          <w:tcPr>
            <w:tcW w:w="1967"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R21住宅用地</w:t>
            </w:r>
          </w:p>
        </w:tc>
        <w:tc>
          <w:tcPr>
            <w:tcW w:w="173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47070.48</w:t>
            </w:r>
          </w:p>
        </w:tc>
        <w:tc>
          <w:tcPr>
            <w:tcW w:w="193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1.01≤Far≤2.2</w:t>
            </w:r>
          </w:p>
        </w:tc>
        <w:tc>
          <w:tcPr>
            <w:tcW w:w="1662"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H≤60</w:t>
            </w:r>
          </w:p>
        </w:tc>
        <w:tc>
          <w:tcPr>
            <w:tcW w:w="161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≤20</w:t>
            </w:r>
          </w:p>
        </w:tc>
        <w:tc>
          <w:tcPr>
            <w:tcW w:w="140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≥35</w:t>
            </w:r>
          </w:p>
        </w:tc>
        <w:tc>
          <w:tcPr>
            <w:tcW w:w="172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B</w:t>
            </w:r>
          </w:p>
        </w:tc>
        <w:tc>
          <w:tcPr>
            <w:tcW w:w="1967"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Rc基层社区中心</w:t>
            </w:r>
          </w:p>
        </w:tc>
        <w:tc>
          <w:tcPr>
            <w:tcW w:w="173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4681.33</w:t>
            </w:r>
          </w:p>
        </w:tc>
        <w:tc>
          <w:tcPr>
            <w:tcW w:w="193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Far≤2</w:t>
            </w:r>
          </w:p>
        </w:tc>
        <w:tc>
          <w:tcPr>
            <w:tcW w:w="1662"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H≤24</w:t>
            </w:r>
          </w:p>
        </w:tc>
        <w:tc>
          <w:tcPr>
            <w:tcW w:w="161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≤40</w:t>
            </w:r>
          </w:p>
        </w:tc>
        <w:tc>
          <w:tcPr>
            <w:tcW w:w="140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≥30</w:t>
            </w:r>
          </w:p>
        </w:tc>
        <w:tc>
          <w:tcPr>
            <w:tcW w:w="172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C</w:t>
            </w:r>
          </w:p>
        </w:tc>
        <w:tc>
          <w:tcPr>
            <w:tcW w:w="1967"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Rax幼托用地</w:t>
            </w:r>
          </w:p>
        </w:tc>
        <w:tc>
          <w:tcPr>
            <w:tcW w:w="173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4804.11</w:t>
            </w:r>
          </w:p>
        </w:tc>
        <w:tc>
          <w:tcPr>
            <w:tcW w:w="193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Far≤0.8</w:t>
            </w:r>
          </w:p>
        </w:tc>
        <w:tc>
          <w:tcPr>
            <w:tcW w:w="1662"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H≤12</w:t>
            </w:r>
          </w:p>
        </w:tc>
        <w:tc>
          <w:tcPr>
            <w:tcW w:w="161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≤30</w:t>
            </w:r>
          </w:p>
        </w:tc>
        <w:tc>
          <w:tcPr>
            <w:tcW w:w="140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≥30</w:t>
            </w:r>
          </w:p>
        </w:tc>
        <w:tc>
          <w:tcPr>
            <w:tcW w:w="172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D</w:t>
            </w:r>
          </w:p>
        </w:tc>
        <w:tc>
          <w:tcPr>
            <w:tcW w:w="1967"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Glc街旁绿地</w:t>
            </w:r>
          </w:p>
        </w:tc>
        <w:tc>
          <w:tcPr>
            <w:tcW w:w="173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5530.92</w:t>
            </w:r>
          </w:p>
        </w:tc>
        <w:tc>
          <w:tcPr>
            <w:tcW w:w="193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c>
          <w:tcPr>
            <w:tcW w:w="1662"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c>
          <w:tcPr>
            <w:tcW w:w="161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c>
          <w:tcPr>
            <w:tcW w:w="1408"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c>
          <w:tcPr>
            <w:tcW w:w="1725"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公共配建</w:t>
            </w:r>
          </w:p>
        </w:tc>
        <w:tc>
          <w:tcPr>
            <w:tcW w:w="12046" w:type="dxa"/>
            <w:gridSpan w:val="7"/>
            <w:vAlign w:val="center"/>
          </w:tcPr>
          <w:p>
            <w:pPr>
              <w:numPr>
                <w:ilvl w:val="0"/>
                <w:numId w:val="1"/>
              </w:numPr>
              <w:spacing w:line="260" w:lineRule="exact"/>
              <w:rPr>
                <w:rFonts w:cs="Times New Roman" w:asciiTheme="minorEastAsia" w:hAnsiTheme="minorEastAsia"/>
                <w:sz w:val="22"/>
                <w:szCs w:val="22"/>
              </w:rPr>
            </w:pPr>
            <w:r>
              <w:rPr>
                <w:rFonts w:cs="Times New Roman" w:asciiTheme="minorEastAsia" w:hAnsiTheme="minorEastAsia"/>
                <w:sz w:val="22"/>
                <w:szCs w:val="22"/>
              </w:rPr>
              <w:t>根据规划建筑的性质、规模和容量，统一规划和安排相应的配套设施，规划应一次到位，今后不得随意插建；可以共用的配套设施应集中布置，有碍观瞻的配套用房应加以隐蔽美化。</w:t>
            </w:r>
          </w:p>
          <w:p>
            <w:pPr>
              <w:numPr>
                <w:ilvl w:val="0"/>
                <w:numId w:val="1"/>
              </w:numPr>
              <w:spacing w:line="260" w:lineRule="exact"/>
              <w:rPr>
                <w:rFonts w:cs="Times New Roman" w:asciiTheme="minorEastAsia" w:hAnsiTheme="minorEastAsia"/>
                <w:sz w:val="22"/>
                <w:szCs w:val="22"/>
              </w:rPr>
            </w:pPr>
            <w:r>
              <w:rPr>
                <w:rFonts w:cs="Times New Roman" w:asciiTheme="minorEastAsia" w:hAnsiTheme="minorEastAsia"/>
                <w:sz w:val="22"/>
                <w:szCs w:val="22"/>
              </w:rPr>
              <w:t>公共设施配置按《南京市公共设施配套规划标准》（NJGBC 01-2015）进行配建，各项目的空间位置、出入口等设置要求应满足各项规定。</w:t>
            </w:r>
          </w:p>
          <w:p>
            <w:pPr>
              <w:numPr>
                <w:ilvl w:val="0"/>
                <w:numId w:val="1"/>
              </w:numPr>
              <w:spacing w:line="260" w:lineRule="exact"/>
              <w:rPr>
                <w:rFonts w:cs="Times New Roman" w:asciiTheme="minorEastAsia" w:hAnsiTheme="minorEastAsia"/>
                <w:sz w:val="22"/>
                <w:szCs w:val="22"/>
              </w:rPr>
            </w:pPr>
            <w:r>
              <w:rPr>
                <w:rFonts w:cs="Times New Roman" w:asciiTheme="minorEastAsia" w:hAnsiTheme="minorEastAsia"/>
                <w:sz w:val="22"/>
                <w:szCs w:val="22"/>
              </w:rPr>
              <w:t>地块B内需配建一座基层社区中心，根据《南京市公共设施配套规划标准》（NJGBC 01-2015），其中应配建：</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社区卫生服务站  建筑面积不小于150平方米，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文化活动室  建筑面积不小于400平方米，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体育活动站/场  用地面积不小于600平方米，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基层社区服务中心  建筑面积不小于400平方米，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社区警务室  建筑面积不小于40平方米，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居家养老服务站  建筑面积不小于120平方米，另根据《江苏省政府关于加快发展养老服务业完善养老服务体系的实施意见》，还必须满足每百户20至30平方米配建标准，</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公厕  建筑面积不小于60平方米，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共用移动通信基站  用地规模不小于20平方米，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垃圾收集站  建筑面积不小于80平方米，占地面积不小于150平方米，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环卫作息场  建筑面积不小于20平方米，空地面积不小于20平方米，</w:t>
            </w:r>
          </w:p>
          <w:p>
            <w:pPr>
              <w:spacing w:line="260" w:lineRule="exact"/>
              <w:ind w:firstLine="440" w:firstLineChars="200"/>
              <w:rPr>
                <w:rFonts w:cs="Times New Roman" w:asciiTheme="minorEastAsia" w:hAnsiTheme="minorEastAsia"/>
                <w:sz w:val="22"/>
                <w:szCs w:val="22"/>
              </w:rPr>
            </w:pPr>
            <w:r>
              <w:rPr>
                <w:rFonts w:cs="Times New Roman" w:asciiTheme="minorEastAsia" w:hAnsiTheme="minorEastAsia"/>
                <w:sz w:val="22"/>
                <w:szCs w:val="22"/>
              </w:rPr>
              <w:t>环卫车辆停放场  用地面积不小于250平方米。</w:t>
            </w:r>
          </w:p>
          <w:p>
            <w:pPr>
              <w:numPr>
                <w:ilvl w:val="0"/>
                <w:numId w:val="1"/>
              </w:numPr>
              <w:spacing w:line="260" w:lineRule="exact"/>
              <w:rPr>
                <w:rFonts w:cs="Times New Roman" w:asciiTheme="minorEastAsia" w:hAnsiTheme="minorEastAsia"/>
                <w:sz w:val="22"/>
                <w:szCs w:val="22"/>
              </w:rPr>
            </w:pPr>
            <w:r>
              <w:rPr>
                <w:rFonts w:cs="Times New Roman" w:asciiTheme="minorEastAsia" w:hAnsiTheme="minorEastAsia"/>
                <w:sz w:val="22"/>
                <w:szCs w:val="22"/>
              </w:rPr>
              <w:t>地块C内需配建一所9班幼儿园。</w:t>
            </w:r>
          </w:p>
          <w:p>
            <w:pPr>
              <w:numPr>
                <w:ilvl w:val="0"/>
                <w:numId w:val="1"/>
              </w:numPr>
              <w:spacing w:line="260" w:lineRule="exact"/>
              <w:rPr>
                <w:rFonts w:cs="Times New Roman" w:asciiTheme="minorEastAsia" w:hAnsiTheme="minorEastAsia"/>
                <w:sz w:val="22"/>
                <w:szCs w:val="22"/>
              </w:rPr>
            </w:pPr>
            <w:r>
              <w:rPr>
                <w:rFonts w:cs="Times New Roman" w:asciiTheme="minorEastAsia" w:hAnsiTheme="minorEastAsia"/>
                <w:sz w:val="22"/>
                <w:szCs w:val="22"/>
              </w:rPr>
              <w:t>配建的公共设施应与首期项目同步规划、同步验收。</w:t>
            </w:r>
          </w:p>
          <w:p>
            <w:pPr>
              <w:numPr>
                <w:ilvl w:val="0"/>
                <w:numId w:val="1"/>
              </w:numPr>
              <w:spacing w:line="260" w:lineRule="exact"/>
              <w:rPr>
                <w:rFonts w:cs="Times New Roman" w:asciiTheme="minorEastAsia" w:hAnsiTheme="minorEastAsia"/>
                <w:sz w:val="22"/>
                <w:szCs w:val="22"/>
              </w:rPr>
            </w:pPr>
            <w:r>
              <w:rPr>
                <w:rFonts w:cs="Times New Roman" w:asciiTheme="minorEastAsia" w:hAnsiTheme="minorEastAsia"/>
                <w:sz w:val="22"/>
                <w:szCs w:val="22"/>
              </w:rPr>
              <w:t>地块D为代征绿地。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停车配建</w:t>
            </w:r>
          </w:p>
        </w:tc>
        <w:tc>
          <w:tcPr>
            <w:tcW w:w="12046" w:type="dxa"/>
            <w:gridSpan w:val="7"/>
            <w:vAlign w:val="center"/>
          </w:tcPr>
          <w:p>
            <w:pPr>
              <w:numPr>
                <w:ilvl w:val="0"/>
                <w:numId w:val="2"/>
              </w:numPr>
              <w:spacing w:line="260" w:lineRule="exact"/>
              <w:rPr>
                <w:rFonts w:cs="Times New Roman" w:asciiTheme="minorEastAsia" w:hAnsiTheme="minorEastAsia"/>
                <w:sz w:val="22"/>
                <w:szCs w:val="22"/>
              </w:rPr>
            </w:pPr>
            <w:r>
              <w:rPr>
                <w:rFonts w:cs="Times New Roman" w:asciiTheme="minorEastAsia" w:hAnsiTheme="minorEastAsia"/>
                <w:sz w:val="22"/>
                <w:szCs w:val="22"/>
              </w:rPr>
              <w:t>应符合《南京市建筑物配建停车设施设置标准与准则》（宁政规字[2012]19号）的相关规定。</w:t>
            </w:r>
          </w:p>
          <w:p>
            <w:pPr>
              <w:numPr>
                <w:ilvl w:val="0"/>
                <w:numId w:val="2"/>
              </w:numPr>
              <w:spacing w:line="260" w:lineRule="exact"/>
              <w:rPr>
                <w:rFonts w:cs="Times New Roman" w:asciiTheme="minorEastAsia" w:hAnsiTheme="minorEastAsia"/>
                <w:sz w:val="22"/>
                <w:szCs w:val="22"/>
              </w:rPr>
            </w:pPr>
            <w:r>
              <w:rPr>
                <w:rFonts w:cs="Times New Roman" w:asciiTheme="minorEastAsia" w:hAnsiTheme="minorEastAsia"/>
                <w:sz w:val="22"/>
                <w:szCs w:val="22"/>
              </w:rPr>
              <w:t>预留充电桩和电动汽车专用泊位数量达到配建总停车泊位数的10%。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指标说明</w:t>
            </w:r>
          </w:p>
        </w:tc>
        <w:tc>
          <w:tcPr>
            <w:tcW w:w="12046" w:type="dxa"/>
            <w:gridSpan w:val="7"/>
            <w:vAlign w:val="center"/>
          </w:tcPr>
          <w:p>
            <w:pPr>
              <w:numPr>
                <w:ilvl w:val="0"/>
                <w:numId w:val="3"/>
              </w:numPr>
              <w:spacing w:line="260" w:lineRule="exact"/>
              <w:rPr>
                <w:rFonts w:cs="Times New Roman" w:asciiTheme="minorEastAsia" w:hAnsiTheme="minorEastAsia"/>
                <w:sz w:val="22"/>
                <w:szCs w:val="22"/>
              </w:rPr>
            </w:pPr>
            <w:r>
              <w:rPr>
                <w:rFonts w:cs="Times New Roman" w:asciiTheme="minorEastAsia" w:hAnsiTheme="minorEastAsia"/>
                <w:sz w:val="22"/>
                <w:szCs w:val="22"/>
              </w:rPr>
              <w:t>指标中用地面积以实际出让土地面积为准；</w:t>
            </w:r>
          </w:p>
          <w:p>
            <w:pPr>
              <w:numPr>
                <w:ilvl w:val="0"/>
                <w:numId w:val="3"/>
              </w:numPr>
              <w:spacing w:line="260" w:lineRule="exact"/>
              <w:rPr>
                <w:rFonts w:cs="Times New Roman" w:asciiTheme="minorEastAsia" w:hAnsiTheme="minorEastAsia"/>
                <w:sz w:val="22"/>
                <w:szCs w:val="22"/>
              </w:rPr>
            </w:pPr>
            <w:r>
              <w:rPr>
                <w:rFonts w:cs="Times New Roman" w:asciiTheme="minorEastAsia" w:hAnsiTheme="minorEastAsia"/>
                <w:sz w:val="22"/>
                <w:szCs w:val="22"/>
              </w:rPr>
              <w:t>指标中建筑高度计算至建筑女儿墙顶</w:t>
            </w:r>
            <w:r>
              <w:rPr>
                <w:rFonts w:hint="eastAsia" w:cs="Times New Roman" w:asciiTheme="minorEastAsia" w:hAnsiTheme="minorEastAsia"/>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restart"/>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规划要求</w:t>
            </w: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交通组织</w:t>
            </w:r>
          </w:p>
        </w:tc>
        <w:tc>
          <w:tcPr>
            <w:tcW w:w="12046" w:type="dxa"/>
            <w:gridSpan w:val="7"/>
            <w:vAlign w:val="center"/>
          </w:tcPr>
          <w:p>
            <w:pPr>
              <w:numPr>
                <w:ilvl w:val="0"/>
                <w:numId w:val="4"/>
              </w:numPr>
              <w:spacing w:line="260" w:lineRule="exact"/>
              <w:rPr>
                <w:rFonts w:cs="Times New Roman" w:asciiTheme="minorEastAsia" w:hAnsiTheme="minorEastAsia"/>
                <w:sz w:val="22"/>
                <w:szCs w:val="22"/>
              </w:rPr>
            </w:pPr>
            <w:r>
              <w:rPr>
                <w:rFonts w:cs="Times New Roman" w:asciiTheme="minorEastAsia" w:hAnsiTheme="minorEastAsia"/>
                <w:sz w:val="22"/>
                <w:szCs w:val="22"/>
              </w:rPr>
              <w:t>出入口处应增加建筑退让，留有足够的集散空间。</w:t>
            </w:r>
          </w:p>
          <w:p>
            <w:pPr>
              <w:numPr>
                <w:ilvl w:val="0"/>
                <w:numId w:val="4"/>
              </w:numPr>
              <w:spacing w:line="260" w:lineRule="exact"/>
              <w:rPr>
                <w:rFonts w:cs="Times New Roman" w:asciiTheme="minorEastAsia" w:hAnsiTheme="minorEastAsia"/>
                <w:sz w:val="22"/>
                <w:szCs w:val="22"/>
              </w:rPr>
            </w:pPr>
            <w:r>
              <w:rPr>
                <w:rFonts w:cs="Times New Roman" w:asciiTheme="minorEastAsia" w:hAnsiTheme="minorEastAsia"/>
                <w:sz w:val="22"/>
                <w:szCs w:val="22"/>
              </w:rPr>
              <w:t>规划设计中须组织好用地内外交通衔接，合理组织地块内各类交通流线，人流车流相对分离，防止不同类型交通相互干扰；内部道路应线路明晰，符合消防规定。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jc w:val="center"/>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地块城市设计要求</w:t>
            </w:r>
          </w:p>
        </w:tc>
        <w:tc>
          <w:tcPr>
            <w:tcW w:w="12046" w:type="dxa"/>
            <w:gridSpan w:val="7"/>
            <w:vAlign w:val="center"/>
          </w:tcPr>
          <w:p>
            <w:pPr>
              <w:numPr>
                <w:ilvl w:val="0"/>
                <w:numId w:val="5"/>
              </w:numPr>
              <w:spacing w:line="260" w:lineRule="exact"/>
              <w:rPr>
                <w:rFonts w:cs="Times New Roman" w:asciiTheme="minorEastAsia" w:hAnsiTheme="minorEastAsia"/>
                <w:sz w:val="22"/>
                <w:szCs w:val="22"/>
              </w:rPr>
            </w:pPr>
            <w:r>
              <w:rPr>
                <w:rFonts w:cs="Times New Roman" w:asciiTheme="minorEastAsia" w:hAnsiTheme="minorEastAsia"/>
                <w:sz w:val="22"/>
                <w:szCs w:val="22"/>
              </w:rPr>
              <w:t>强化与老山、城市的整体景观格局，明确街道的街墙控制要求，考虑人的活动需求、景观塑造等因素组织开敞空间，提出建筑退让要求和建筑贴线率控制要求；</w:t>
            </w:r>
          </w:p>
          <w:p>
            <w:pPr>
              <w:numPr>
                <w:ilvl w:val="0"/>
                <w:numId w:val="5"/>
              </w:numPr>
              <w:spacing w:line="260" w:lineRule="exact"/>
              <w:rPr>
                <w:rFonts w:cs="Times New Roman" w:asciiTheme="minorEastAsia" w:hAnsiTheme="minorEastAsia"/>
                <w:sz w:val="22"/>
                <w:szCs w:val="22"/>
              </w:rPr>
            </w:pPr>
            <w:r>
              <w:rPr>
                <w:rFonts w:cs="Times New Roman" w:asciiTheme="minorEastAsia" w:hAnsiTheme="minorEastAsia"/>
                <w:sz w:val="22"/>
                <w:szCs w:val="22"/>
              </w:rPr>
              <w:t>确定地块内主要建筑的体量、高度、轮廓、色彩、立面和屋顶形式；</w:t>
            </w:r>
          </w:p>
          <w:p>
            <w:pPr>
              <w:numPr>
                <w:ilvl w:val="0"/>
                <w:numId w:val="5"/>
              </w:numPr>
              <w:spacing w:line="260" w:lineRule="exact"/>
              <w:rPr>
                <w:rFonts w:cs="Times New Roman" w:asciiTheme="minorEastAsia" w:hAnsiTheme="minorEastAsia"/>
                <w:sz w:val="22"/>
                <w:szCs w:val="22"/>
              </w:rPr>
            </w:pPr>
            <w:r>
              <w:rPr>
                <w:rFonts w:cs="Times New Roman" w:asciiTheme="minorEastAsia" w:hAnsiTheme="minorEastAsia"/>
                <w:sz w:val="22"/>
                <w:szCs w:val="22"/>
              </w:rPr>
              <w:t>衔接周边城市交通，组织场地内部车行及人行交通流线，确定道路竖向、平面、断面、无障碍通道及停车空间。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jc w:val="center"/>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间距退让</w:t>
            </w:r>
          </w:p>
        </w:tc>
        <w:tc>
          <w:tcPr>
            <w:tcW w:w="12046" w:type="dxa"/>
            <w:gridSpan w:val="7"/>
            <w:vAlign w:val="center"/>
          </w:tcPr>
          <w:p>
            <w:pPr>
              <w:spacing w:line="260" w:lineRule="exact"/>
              <w:rPr>
                <w:rFonts w:cs="Times New Roman" w:asciiTheme="minorEastAsia" w:hAnsiTheme="minorEastAsia"/>
                <w:sz w:val="22"/>
                <w:szCs w:val="22"/>
              </w:rPr>
            </w:pPr>
            <w:r>
              <w:rPr>
                <w:rFonts w:cs="Times New Roman" w:asciiTheme="minorEastAsia" w:hAnsiTheme="minorEastAsia"/>
                <w:sz w:val="22"/>
                <w:szCs w:val="22"/>
              </w:rPr>
              <w:t>规划建筑应符合《江苏省城市规划管理技术规定》（2011年版）的相关规定的要求。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jc w:val="center"/>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其他要求</w:t>
            </w:r>
          </w:p>
        </w:tc>
        <w:tc>
          <w:tcPr>
            <w:tcW w:w="12046" w:type="dxa"/>
            <w:gridSpan w:val="7"/>
            <w:vAlign w:val="center"/>
          </w:tcPr>
          <w:p>
            <w:pPr>
              <w:numPr>
                <w:ilvl w:val="0"/>
                <w:numId w:val="6"/>
              </w:numPr>
              <w:spacing w:line="260" w:lineRule="exact"/>
              <w:rPr>
                <w:rFonts w:cs="Times New Roman" w:asciiTheme="minorEastAsia" w:hAnsiTheme="minorEastAsia"/>
                <w:sz w:val="22"/>
                <w:szCs w:val="22"/>
              </w:rPr>
            </w:pPr>
            <w:r>
              <w:rPr>
                <w:rFonts w:cs="Times New Roman" w:asciiTheme="minorEastAsia" w:hAnsiTheme="minorEastAsia"/>
                <w:sz w:val="22"/>
                <w:szCs w:val="22"/>
              </w:rPr>
              <w:t>该项目的市政公用工程：给水、雨水、污水、供电、通讯、燃气、有线电视等管线及配套设施要结合规划总图一并考虑用地和管线综合布置。报审管线综合。</w:t>
            </w:r>
          </w:p>
          <w:p>
            <w:pPr>
              <w:numPr>
                <w:ilvl w:val="0"/>
                <w:numId w:val="6"/>
              </w:numPr>
              <w:spacing w:line="260" w:lineRule="exact"/>
              <w:rPr>
                <w:rFonts w:cs="Times New Roman" w:asciiTheme="minorEastAsia" w:hAnsiTheme="minorEastAsia"/>
                <w:sz w:val="22"/>
                <w:szCs w:val="22"/>
              </w:rPr>
            </w:pPr>
            <w:r>
              <w:rPr>
                <w:rFonts w:cs="Times New Roman" w:asciiTheme="minorEastAsia" w:hAnsiTheme="minorEastAsia"/>
                <w:sz w:val="22"/>
                <w:szCs w:val="22"/>
              </w:rPr>
              <w:t>根据城市排水规划和规划的外部条件，该项目的排水体制为雨污分流制。</w:t>
            </w:r>
          </w:p>
          <w:p>
            <w:pPr>
              <w:numPr>
                <w:ilvl w:val="0"/>
                <w:numId w:val="6"/>
              </w:numPr>
              <w:spacing w:line="260" w:lineRule="exact"/>
              <w:rPr>
                <w:rFonts w:cs="Times New Roman" w:asciiTheme="minorEastAsia" w:hAnsiTheme="minorEastAsia"/>
                <w:sz w:val="22"/>
                <w:szCs w:val="22"/>
              </w:rPr>
            </w:pPr>
            <w:r>
              <w:rPr>
                <w:rFonts w:cs="Times New Roman" w:asciiTheme="minorEastAsia" w:hAnsiTheme="minorEastAsia"/>
                <w:sz w:val="22"/>
                <w:szCs w:val="22"/>
              </w:rPr>
              <w:t>根据建设容量向各管线单位提出申请，并结合管线规划综合图征求其意见。</w:t>
            </w:r>
          </w:p>
          <w:p>
            <w:pPr>
              <w:numPr>
                <w:ilvl w:val="0"/>
                <w:numId w:val="6"/>
              </w:numPr>
              <w:spacing w:line="260" w:lineRule="exact"/>
              <w:rPr>
                <w:rFonts w:cs="Times New Roman" w:asciiTheme="minorEastAsia" w:hAnsiTheme="minorEastAsia"/>
                <w:sz w:val="22"/>
                <w:szCs w:val="22"/>
              </w:rPr>
            </w:pPr>
            <w:r>
              <w:rPr>
                <w:rFonts w:cs="Times New Roman" w:asciiTheme="minorEastAsia" w:hAnsiTheme="minorEastAsia"/>
                <w:sz w:val="22"/>
                <w:szCs w:val="22"/>
              </w:rPr>
              <w:t>各专业管线依据规划局批准的管线综合图进行专业管线设计，在领取管线建设工程规划许可证和申报验线后，方可开挖施工。</w:t>
            </w:r>
          </w:p>
          <w:p>
            <w:pPr>
              <w:numPr>
                <w:ilvl w:val="0"/>
                <w:numId w:val="6"/>
              </w:numPr>
              <w:spacing w:line="260" w:lineRule="exact"/>
              <w:rPr>
                <w:rFonts w:cs="Times New Roman" w:asciiTheme="minorEastAsia" w:hAnsiTheme="minorEastAsia"/>
                <w:sz w:val="22"/>
                <w:szCs w:val="22"/>
              </w:rPr>
            </w:pPr>
            <w:r>
              <w:rPr>
                <w:rFonts w:cs="Times New Roman" w:asciiTheme="minorEastAsia" w:hAnsiTheme="minorEastAsia"/>
                <w:sz w:val="22"/>
                <w:szCs w:val="22"/>
              </w:rPr>
              <w:t>建筑设计应符合《南京市公共设施配套规划标准》（2015年版）、《江苏省绿色建筑设计标准》（2013年版）及《南京市民用建筑节能条例》中相关规定。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33" w:hRule="atLeast"/>
        </w:trPr>
        <w:tc>
          <w:tcPr>
            <w:tcW w:w="553" w:type="dxa"/>
            <w:vMerge w:val="restart"/>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报审要求</w:t>
            </w: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报审图件</w:t>
            </w:r>
          </w:p>
        </w:tc>
        <w:tc>
          <w:tcPr>
            <w:tcW w:w="12046" w:type="dxa"/>
            <w:gridSpan w:val="7"/>
            <w:vAlign w:val="center"/>
          </w:tcPr>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建设项目建设基本信息登记表；</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建筑设计方案自审表；</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规划设计说明；</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总平面图（落放在1:500或1:1000地形图上，含主要经济技术指标）；</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建筑单体平、立、剖面图；</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沿街立面图（包括相邻地块建筑立面）；</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有关分析图（高度、实景、照片、植入分析等）；</w:t>
            </w:r>
          </w:p>
          <w:p>
            <w:pPr>
              <w:numPr>
                <w:ilvl w:val="0"/>
                <w:numId w:val="7"/>
              </w:numPr>
              <w:spacing w:line="260" w:lineRule="exact"/>
              <w:rPr>
                <w:rFonts w:cs="Times New Roman" w:asciiTheme="minorEastAsia" w:hAnsiTheme="minorEastAsia"/>
                <w:sz w:val="22"/>
                <w:szCs w:val="22"/>
              </w:rPr>
            </w:pPr>
            <w:r>
              <w:rPr>
                <w:rFonts w:cs="Times New Roman" w:asciiTheme="minorEastAsia" w:hAnsiTheme="minorEastAsia"/>
                <w:sz w:val="22"/>
                <w:szCs w:val="22"/>
              </w:rPr>
              <w:t>专项论证成果。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jc w:val="center"/>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部门意见</w:t>
            </w:r>
          </w:p>
        </w:tc>
        <w:tc>
          <w:tcPr>
            <w:tcW w:w="12046" w:type="dxa"/>
            <w:gridSpan w:val="7"/>
            <w:vAlign w:val="center"/>
          </w:tcPr>
          <w:p>
            <w:pPr>
              <w:spacing w:line="260" w:lineRule="exact"/>
              <w:rPr>
                <w:rFonts w:cs="Times New Roman" w:asciiTheme="minorEastAsia" w:hAnsiTheme="minorEastAsia"/>
                <w:sz w:val="22"/>
                <w:szCs w:val="22"/>
              </w:rPr>
            </w:pPr>
            <w:r>
              <w:rPr>
                <w:rFonts w:cs="Times New Roman" w:asciiTheme="minorEastAsia" w:hAnsiTheme="minorEastAsia"/>
                <w:sz w:val="22"/>
                <w:szCs w:val="22"/>
              </w:rPr>
              <w:t>申请建设工程规划许可证前应取得：人防、环保、文物、节能部门的同意意见。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53" w:type="dxa"/>
            <w:vMerge w:val="continue"/>
          </w:tcPr>
          <w:p>
            <w:pPr>
              <w:spacing w:line="260" w:lineRule="exact"/>
              <w:jc w:val="center"/>
              <w:rPr>
                <w:rFonts w:cs="Times New Roman" w:asciiTheme="minorEastAsia" w:hAnsiTheme="minorEastAsia"/>
                <w:sz w:val="22"/>
                <w:szCs w:val="22"/>
              </w:rPr>
            </w:pPr>
          </w:p>
        </w:tc>
        <w:tc>
          <w:tcPr>
            <w:tcW w:w="1881" w:type="dxa"/>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其他要求</w:t>
            </w:r>
          </w:p>
        </w:tc>
        <w:tc>
          <w:tcPr>
            <w:tcW w:w="12046" w:type="dxa"/>
            <w:gridSpan w:val="7"/>
            <w:vAlign w:val="center"/>
          </w:tcPr>
          <w:p>
            <w:pPr>
              <w:numPr>
                <w:ilvl w:val="0"/>
                <w:numId w:val="8"/>
              </w:numPr>
              <w:spacing w:line="260" w:lineRule="exact"/>
              <w:rPr>
                <w:rFonts w:cs="Times New Roman" w:asciiTheme="minorEastAsia" w:hAnsiTheme="minorEastAsia"/>
                <w:sz w:val="22"/>
                <w:szCs w:val="22"/>
              </w:rPr>
            </w:pPr>
            <w:r>
              <w:rPr>
                <w:rFonts w:cs="Times New Roman" w:asciiTheme="minorEastAsia" w:hAnsiTheme="minorEastAsia"/>
                <w:sz w:val="22"/>
                <w:szCs w:val="22"/>
              </w:rPr>
              <w:t>方案比选：申请方案审查前应进行设计方案比选，由南京规划委员会专家咨询委员会进行评选。组织不少于3家设计单位，送选方案不得少于3个。</w:t>
            </w:r>
          </w:p>
          <w:p>
            <w:pPr>
              <w:numPr>
                <w:ilvl w:val="0"/>
                <w:numId w:val="8"/>
              </w:numPr>
              <w:spacing w:line="260" w:lineRule="exact"/>
              <w:rPr>
                <w:rFonts w:cs="Times New Roman" w:asciiTheme="minorEastAsia" w:hAnsiTheme="minorEastAsia"/>
                <w:sz w:val="22"/>
                <w:szCs w:val="22"/>
              </w:rPr>
            </w:pPr>
            <w:r>
              <w:rPr>
                <w:rFonts w:cs="Times New Roman" w:asciiTheme="minorEastAsia" w:hAnsiTheme="minorEastAsia"/>
                <w:sz w:val="22"/>
                <w:szCs w:val="22"/>
              </w:rPr>
              <w:t>专项论证方案审定前应完成：公示程序、环境影响分析、日照影响分析。</w:t>
            </w:r>
          </w:p>
          <w:p>
            <w:pPr>
              <w:numPr>
                <w:ilvl w:val="0"/>
                <w:numId w:val="8"/>
              </w:numPr>
              <w:spacing w:line="260" w:lineRule="exact"/>
              <w:rPr>
                <w:rFonts w:cs="Times New Roman" w:asciiTheme="minorEastAsia" w:hAnsiTheme="minorEastAsia"/>
                <w:sz w:val="22"/>
                <w:szCs w:val="22"/>
              </w:rPr>
            </w:pPr>
            <w:r>
              <w:rPr>
                <w:rFonts w:cs="Times New Roman" w:asciiTheme="minorEastAsia" w:hAnsiTheme="minorEastAsia"/>
                <w:sz w:val="22"/>
                <w:szCs w:val="22"/>
              </w:rPr>
              <w:t>统一设计和安装太阳能热水系统，并报市建委施工图审查中心审查。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4" w:type="dxa"/>
            <w:gridSpan w:val="2"/>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要点附件</w:t>
            </w:r>
          </w:p>
        </w:tc>
        <w:tc>
          <w:tcPr>
            <w:tcW w:w="12046" w:type="dxa"/>
            <w:gridSpan w:val="7"/>
            <w:vAlign w:val="center"/>
          </w:tcPr>
          <w:p>
            <w:pPr>
              <w:numPr>
                <w:ilvl w:val="0"/>
                <w:numId w:val="9"/>
              </w:numPr>
              <w:spacing w:line="260" w:lineRule="exact"/>
              <w:rPr>
                <w:rFonts w:cs="Times New Roman" w:asciiTheme="minorEastAsia" w:hAnsiTheme="minorEastAsia"/>
                <w:sz w:val="22"/>
                <w:szCs w:val="22"/>
              </w:rPr>
            </w:pPr>
            <w:r>
              <w:rPr>
                <w:rFonts w:cs="Times New Roman" w:asciiTheme="minorEastAsia" w:hAnsiTheme="minorEastAsia"/>
                <w:sz w:val="22"/>
                <w:szCs w:val="22"/>
              </w:rPr>
              <w:t>规划设计要点红线图，1套</w:t>
            </w:r>
          </w:p>
          <w:p>
            <w:pPr>
              <w:numPr>
                <w:ilvl w:val="0"/>
                <w:numId w:val="9"/>
              </w:numPr>
              <w:spacing w:line="260" w:lineRule="exact"/>
              <w:rPr>
                <w:rFonts w:cs="Times New Roman" w:asciiTheme="minorEastAsia" w:hAnsiTheme="minorEastAsia"/>
                <w:sz w:val="22"/>
                <w:szCs w:val="22"/>
              </w:rPr>
            </w:pPr>
            <w:r>
              <w:rPr>
                <w:rFonts w:cs="Times New Roman" w:asciiTheme="minorEastAsia" w:hAnsiTheme="minorEastAsia"/>
                <w:sz w:val="22"/>
                <w:szCs w:val="22"/>
              </w:rPr>
              <w:t>建设项目规划审批事项申请表，1张</w:t>
            </w:r>
          </w:p>
          <w:p>
            <w:pPr>
              <w:numPr>
                <w:ilvl w:val="0"/>
                <w:numId w:val="9"/>
              </w:numPr>
              <w:spacing w:line="260" w:lineRule="exact"/>
              <w:rPr>
                <w:rFonts w:cs="Times New Roman" w:asciiTheme="minorEastAsia" w:hAnsiTheme="minorEastAsia"/>
                <w:sz w:val="22"/>
                <w:szCs w:val="22"/>
              </w:rPr>
            </w:pPr>
            <w:r>
              <w:rPr>
                <w:rFonts w:cs="Times New Roman" w:asciiTheme="minorEastAsia" w:hAnsiTheme="minorEastAsia"/>
                <w:sz w:val="22"/>
                <w:szCs w:val="22"/>
              </w:rPr>
              <w:t>建设工程设计方案自审表，1张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434" w:type="dxa"/>
            <w:gridSpan w:val="2"/>
            <w:vAlign w:val="center"/>
          </w:tcPr>
          <w:p>
            <w:pPr>
              <w:spacing w:line="260" w:lineRule="exact"/>
              <w:jc w:val="center"/>
              <w:rPr>
                <w:rFonts w:cs="Times New Roman" w:asciiTheme="minorEastAsia" w:hAnsiTheme="minorEastAsia"/>
                <w:sz w:val="22"/>
                <w:szCs w:val="22"/>
              </w:rPr>
            </w:pPr>
            <w:r>
              <w:rPr>
                <w:rFonts w:cs="Times New Roman" w:asciiTheme="minorEastAsia" w:hAnsiTheme="minorEastAsia"/>
                <w:sz w:val="22"/>
                <w:szCs w:val="22"/>
              </w:rPr>
              <w:t>备注</w:t>
            </w:r>
          </w:p>
        </w:tc>
        <w:tc>
          <w:tcPr>
            <w:tcW w:w="12046" w:type="dxa"/>
            <w:gridSpan w:val="7"/>
            <w:vAlign w:val="center"/>
          </w:tcPr>
          <w:p>
            <w:pPr>
              <w:numPr>
                <w:ilvl w:val="0"/>
                <w:numId w:val="10"/>
              </w:numPr>
              <w:spacing w:line="260" w:lineRule="exact"/>
              <w:rPr>
                <w:rFonts w:cs="Times New Roman" w:asciiTheme="minorEastAsia" w:hAnsiTheme="minorEastAsia"/>
                <w:sz w:val="22"/>
                <w:szCs w:val="22"/>
              </w:rPr>
            </w:pPr>
            <w:r>
              <w:rPr>
                <w:rFonts w:cs="Times New Roman" w:asciiTheme="minorEastAsia" w:hAnsiTheme="minorEastAsia"/>
                <w:sz w:val="22"/>
                <w:szCs w:val="22"/>
              </w:rPr>
              <w:t>凡本要点未作具体规划的，应按现行有关法规和规范执行。</w:t>
            </w:r>
          </w:p>
          <w:p>
            <w:pPr>
              <w:numPr>
                <w:ilvl w:val="0"/>
                <w:numId w:val="10"/>
              </w:numPr>
              <w:spacing w:line="260" w:lineRule="exact"/>
              <w:rPr>
                <w:rFonts w:cs="Times New Roman" w:asciiTheme="minorEastAsia" w:hAnsiTheme="minorEastAsia"/>
                <w:sz w:val="22"/>
                <w:szCs w:val="22"/>
              </w:rPr>
            </w:pPr>
            <w:r>
              <w:rPr>
                <w:rFonts w:cs="Times New Roman" w:asciiTheme="minorEastAsia" w:hAnsiTheme="minorEastAsia"/>
                <w:sz w:val="22"/>
                <w:szCs w:val="22"/>
              </w:rPr>
              <w:t>报审的规划设计方案应符合本要点的各项要求，否则窗口可不予受理。</w:t>
            </w:r>
          </w:p>
          <w:p>
            <w:pPr>
              <w:numPr>
                <w:ilvl w:val="0"/>
                <w:numId w:val="10"/>
              </w:numPr>
              <w:spacing w:line="260" w:lineRule="exact"/>
              <w:rPr>
                <w:rFonts w:cs="Times New Roman" w:asciiTheme="minorEastAsia" w:hAnsiTheme="minorEastAsia"/>
                <w:sz w:val="22"/>
                <w:szCs w:val="22"/>
              </w:rPr>
            </w:pPr>
            <w:r>
              <w:rPr>
                <w:rFonts w:cs="Times New Roman" w:asciiTheme="minorEastAsia" w:hAnsiTheme="minorEastAsia"/>
                <w:sz w:val="22"/>
                <w:szCs w:val="22"/>
              </w:rPr>
              <w:t>规划设计方案经我局审定后方可进行初步设计或施工图设计。</w:t>
            </w:r>
          </w:p>
          <w:p>
            <w:pPr>
              <w:numPr>
                <w:ilvl w:val="0"/>
                <w:numId w:val="10"/>
              </w:numPr>
              <w:spacing w:line="260" w:lineRule="exact"/>
              <w:rPr>
                <w:rFonts w:cs="Times New Roman" w:asciiTheme="minorEastAsia" w:hAnsiTheme="minorEastAsia"/>
                <w:sz w:val="22"/>
                <w:szCs w:val="22"/>
              </w:rPr>
            </w:pPr>
            <w:r>
              <w:rPr>
                <w:rFonts w:cs="Times New Roman" w:asciiTheme="minorEastAsia" w:hAnsiTheme="minorEastAsia"/>
                <w:sz w:val="22"/>
                <w:szCs w:val="22"/>
              </w:rPr>
              <w:t>经公开出让获得土地使用权的项目，自土地出让合同签订之日起，本要点内容进行如下变更：建设单位变更为土地受让人，签发日期变更为合同签订日期，有效期按合同约定的开工建设期限控制。</w:t>
            </w:r>
          </w:p>
          <w:p>
            <w:pPr>
              <w:numPr>
                <w:ilvl w:val="0"/>
                <w:numId w:val="10"/>
              </w:numPr>
              <w:spacing w:line="260" w:lineRule="exact"/>
              <w:rPr>
                <w:rFonts w:cs="Times New Roman" w:asciiTheme="minorEastAsia" w:hAnsiTheme="minorEastAsia"/>
                <w:sz w:val="22"/>
                <w:szCs w:val="22"/>
              </w:rPr>
            </w:pPr>
            <w:r>
              <w:rPr>
                <w:rFonts w:cs="Times New Roman" w:asciiTheme="minorEastAsia" w:hAnsiTheme="minorEastAsia"/>
                <w:sz w:val="22"/>
                <w:szCs w:val="22"/>
              </w:rPr>
              <w:t>规划条件的有效期以土地出让合同为准。</w:t>
            </w:r>
          </w:p>
          <w:p>
            <w:pPr>
              <w:numPr>
                <w:ilvl w:val="0"/>
                <w:numId w:val="10"/>
              </w:numPr>
              <w:spacing w:line="260" w:lineRule="exact"/>
              <w:rPr>
                <w:rFonts w:cs="Times New Roman" w:asciiTheme="minorEastAsia" w:hAnsiTheme="minorEastAsia"/>
                <w:sz w:val="22"/>
                <w:szCs w:val="22"/>
              </w:rPr>
            </w:pPr>
            <w:r>
              <w:rPr>
                <w:rFonts w:cs="Times New Roman" w:asciiTheme="minorEastAsia" w:hAnsiTheme="minorEastAsia"/>
                <w:sz w:val="22"/>
                <w:szCs w:val="22"/>
              </w:rPr>
              <w:t>重大建设工程和可能发生严重次生灾害的建设工程（范围详见宁发改投资字[2006]892号文），应当按照国务院有关规定进行地震安全性评价，并按照经审定的地震安全性评价报告进行抗震设计。</w:t>
            </w:r>
          </w:p>
        </w:tc>
      </w:tr>
    </w:tbl>
    <w:p>
      <w:pPr>
        <w:spacing w:line="360" w:lineRule="auto"/>
        <w:rPr>
          <w:rFonts w:ascii="Times New Roman" w:hAnsi="Times New Roman" w:cs="Times New Roman"/>
          <w:sz w:val="24"/>
          <w:szCs w:val="32"/>
        </w:rPr>
        <w:sectPr>
          <w:pgSz w:w="16783" w:h="23757"/>
          <w:pgMar w:top="1134" w:right="1418" w:bottom="284" w:left="1418" w:header="851" w:footer="992" w:gutter="0"/>
          <w:cols w:space="425" w:num="1"/>
          <w:docGrid w:type="lines" w:linePitch="312" w:charSpace="0"/>
        </w:sectPr>
      </w:pPr>
    </w:p>
    <w:p>
      <w:pPr>
        <w:widowControl/>
        <w:jc w:val="left"/>
        <w:rPr>
          <w:rFonts w:ascii="Times New Roman" w:hAnsi="Times New Roman" w:cs="Times New Roman"/>
          <w:bCs/>
          <w:sz w:val="24"/>
          <w:szCs w:val="32"/>
        </w:rPr>
      </w:pPr>
    </w:p>
    <w:sectPr>
      <w:pgSz w:w="11906" w:h="16838"/>
      <w:pgMar w:top="1440" w:right="1701" w:bottom="1134"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A00002EF" w:usb1="4000004B" w:usb2="00000000" w:usb3="00000000" w:csb0="2000009F" w:csb1="00000000"/>
  </w:font>
  <w:font w:name="Calibri">
    <w:panose1 w:val="020F0502020204030204"/>
    <w:charset w:val="00"/>
    <w:family w:val="decorative"/>
    <w:pitch w:val="default"/>
    <w:sig w:usb0="A00002EF" w:usb1="4000207B" w:usb2="00000000" w:usb3="00000000" w:csb0="200000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swiss"/>
    <w:pitch w:val="default"/>
    <w:sig w:usb0="800002BF" w:usb1="38CF7CFA" w:usb2="00000016" w:usb3="00000000" w:csb0="00040001" w:csb1="00000000"/>
  </w:font>
  <w:font w:name="Calibri Light">
    <w:panose1 w:val="020F0302020204030204"/>
    <w:charset w:val="00"/>
    <w:family w:val="decorative"/>
    <w:pitch w:val="default"/>
    <w:sig w:usb0="A00002EF" w:usb1="4000207B" w:usb2="00000000" w:usb3="00000000" w:csb0="2000019F"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6316934"/>
    </w:sdtPr>
    <w:sdtContent>
      <w:p>
        <w:pPr>
          <w:pStyle w:val="5"/>
          <w:jc w:val="center"/>
        </w:pPr>
        <w:r>
          <w:fldChar w:fldCharType="begin"/>
        </w:r>
        <w:r>
          <w:instrText xml:space="preserve">PAGE   \* MERGEFORMAT</w:instrText>
        </w:r>
        <w:r>
          <w:fldChar w:fldCharType="separate"/>
        </w:r>
        <w:r>
          <w:rPr>
            <w:lang w:val="zh-CN"/>
          </w:rPr>
          <w:t>11</w:t>
        </w:r>
        <w:r>
          <w:fldChar w:fldCharType="end"/>
        </w:r>
      </w:p>
    </w:sdtContent>
  </w:sdt>
  <w:p>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64142943">
    <w:nsid w:val="57450C5F"/>
    <w:multiLevelType w:val="singleLevel"/>
    <w:tmpl w:val="57450C5F"/>
    <w:lvl w:ilvl="0" w:tentative="1">
      <w:start w:val="1"/>
      <w:numFmt w:val="decimal"/>
      <w:suff w:val="nothing"/>
      <w:lvlText w:val="%1、"/>
      <w:lvlJc w:val="left"/>
    </w:lvl>
  </w:abstractNum>
  <w:abstractNum w:abstractNumId="1464143736">
    <w:nsid w:val="57450F78"/>
    <w:multiLevelType w:val="singleLevel"/>
    <w:tmpl w:val="57450F78"/>
    <w:lvl w:ilvl="0" w:tentative="1">
      <w:start w:val="1"/>
      <w:numFmt w:val="decimal"/>
      <w:suff w:val="nothing"/>
      <w:lvlText w:val="%1、"/>
      <w:lvlJc w:val="left"/>
    </w:lvl>
  </w:abstractNum>
  <w:abstractNum w:abstractNumId="1464143824">
    <w:nsid w:val="57450FD0"/>
    <w:multiLevelType w:val="singleLevel"/>
    <w:tmpl w:val="57450FD0"/>
    <w:lvl w:ilvl="0" w:tentative="1">
      <w:start w:val="1"/>
      <w:numFmt w:val="decimal"/>
      <w:suff w:val="nothing"/>
      <w:lvlText w:val="%1、"/>
      <w:lvlJc w:val="left"/>
    </w:lvl>
  </w:abstractNum>
  <w:abstractNum w:abstractNumId="1464143925">
    <w:nsid w:val="57451035"/>
    <w:multiLevelType w:val="singleLevel"/>
    <w:tmpl w:val="57451035"/>
    <w:lvl w:ilvl="0" w:tentative="1">
      <w:start w:val="1"/>
      <w:numFmt w:val="decimal"/>
      <w:suff w:val="nothing"/>
      <w:lvlText w:val="%1、"/>
      <w:lvlJc w:val="left"/>
    </w:lvl>
  </w:abstractNum>
  <w:abstractNum w:abstractNumId="1464144143">
    <w:nsid w:val="5745110F"/>
    <w:multiLevelType w:val="singleLevel"/>
    <w:tmpl w:val="5745110F"/>
    <w:lvl w:ilvl="0" w:tentative="1">
      <w:start w:val="1"/>
      <w:numFmt w:val="decimal"/>
      <w:suff w:val="nothing"/>
      <w:lvlText w:val="%1、"/>
      <w:lvlJc w:val="left"/>
    </w:lvl>
  </w:abstractNum>
  <w:abstractNum w:abstractNumId="1464144403">
    <w:nsid w:val="57451213"/>
    <w:multiLevelType w:val="singleLevel"/>
    <w:tmpl w:val="57451213"/>
    <w:lvl w:ilvl="0" w:tentative="1">
      <w:start w:val="1"/>
      <w:numFmt w:val="decimal"/>
      <w:suff w:val="nothing"/>
      <w:lvlText w:val="%1、"/>
      <w:lvlJc w:val="left"/>
    </w:lvl>
  </w:abstractNum>
  <w:abstractNum w:abstractNumId="1464144665">
    <w:nsid w:val="57451319"/>
    <w:multiLevelType w:val="singleLevel"/>
    <w:tmpl w:val="57451319"/>
    <w:lvl w:ilvl="0" w:tentative="1">
      <w:start w:val="1"/>
      <w:numFmt w:val="decimal"/>
      <w:suff w:val="nothing"/>
      <w:lvlText w:val="%1、"/>
      <w:lvlJc w:val="left"/>
    </w:lvl>
  </w:abstractNum>
  <w:abstractNum w:abstractNumId="1464145015">
    <w:nsid w:val="57451477"/>
    <w:multiLevelType w:val="singleLevel"/>
    <w:tmpl w:val="57451477"/>
    <w:lvl w:ilvl="0" w:tentative="1">
      <w:start w:val="1"/>
      <w:numFmt w:val="decimal"/>
      <w:suff w:val="nothing"/>
      <w:lvlText w:val="%1、"/>
      <w:lvlJc w:val="left"/>
    </w:lvl>
  </w:abstractNum>
  <w:abstractNum w:abstractNumId="1464145118">
    <w:nsid w:val="574514DE"/>
    <w:multiLevelType w:val="singleLevel"/>
    <w:tmpl w:val="574514DE"/>
    <w:lvl w:ilvl="0" w:tentative="1">
      <w:start w:val="1"/>
      <w:numFmt w:val="decimal"/>
      <w:suff w:val="nothing"/>
      <w:lvlText w:val="%1、"/>
      <w:lvlJc w:val="left"/>
    </w:lvl>
  </w:abstractNum>
  <w:abstractNum w:abstractNumId="1464145208">
    <w:nsid w:val="57451538"/>
    <w:multiLevelType w:val="singleLevel"/>
    <w:tmpl w:val="57451538"/>
    <w:lvl w:ilvl="0" w:tentative="1">
      <w:start w:val="1"/>
      <w:numFmt w:val="decimal"/>
      <w:suff w:val="nothing"/>
      <w:lvlText w:val="%1、"/>
      <w:lvlJc w:val="left"/>
    </w:lvl>
  </w:abstractNum>
  <w:num w:numId="1">
    <w:abstractNumId w:val="1464142943"/>
  </w:num>
  <w:num w:numId="2">
    <w:abstractNumId w:val="1464143736"/>
  </w:num>
  <w:num w:numId="3">
    <w:abstractNumId w:val="1464143824"/>
  </w:num>
  <w:num w:numId="4">
    <w:abstractNumId w:val="1464143925"/>
  </w:num>
  <w:num w:numId="5">
    <w:abstractNumId w:val="1464144143"/>
  </w:num>
  <w:num w:numId="6">
    <w:abstractNumId w:val="1464144403"/>
  </w:num>
  <w:num w:numId="7">
    <w:abstractNumId w:val="1464144665"/>
  </w:num>
  <w:num w:numId="8">
    <w:abstractNumId w:val="1464145015"/>
  </w:num>
  <w:num w:numId="9">
    <w:abstractNumId w:val="1464145118"/>
  </w:num>
  <w:num w:numId="10">
    <w:abstractNumId w:val="146414520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5D41312"/>
    <w:rsid w:val="00024CC6"/>
    <w:rsid w:val="0007474B"/>
    <w:rsid w:val="0008066A"/>
    <w:rsid w:val="000C3692"/>
    <w:rsid w:val="000F13C7"/>
    <w:rsid w:val="00173AD3"/>
    <w:rsid w:val="00181057"/>
    <w:rsid w:val="0018156C"/>
    <w:rsid w:val="00182359"/>
    <w:rsid w:val="00186C11"/>
    <w:rsid w:val="00190107"/>
    <w:rsid w:val="001A7D7F"/>
    <w:rsid w:val="001B77AA"/>
    <w:rsid w:val="001D52A7"/>
    <w:rsid w:val="001E385D"/>
    <w:rsid w:val="001E6C61"/>
    <w:rsid w:val="00212093"/>
    <w:rsid w:val="002356F9"/>
    <w:rsid w:val="00262ECD"/>
    <w:rsid w:val="00277B6B"/>
    <w:rsid w:val="00297D46"/>
    <w:rsid w:val="002F765D"/>
    <w:rsid w:val="00300AA7"/>
    <w:rsid w:val="00340BB1"/>
    <w:rsid w:val="00361777"/>
    <w:rsid w:val="003877FD"/>
    <w:rsid w:val="003A1E6E"/>
    <w:rsid w:val="003B6A2B"/>
    <w:rsid w:val="004012C0"/>
    <w:rsid w:val="0044197D"/>
    <w:rsid w:val="004467DD"/>
    <w:rsid w:val="00453FCD"/>
    <w:rsid w:val="0047146B"/>
    <w:rsid w:val="004A677A"/>
    <w:rsid w:val="004E210A"/>
    <w:rsid w:val="005038A7"/>
    <w:rsid w:val="0050761C"/>
    <w:rsid w:val="00510B4E"/>
    <w:rsid w:val="0053243B"/>
    <w:rsid w:val="005573D9"/>
    <w:rsid w:val="00571170"/>
    <w:rsid w:val="005A64DB"/>
    <w:rsid w:val="005B4451"/>
    <w:rsid w:val="005C3DA6"/>
    <w:rsid w:val="005C5D82"/>
    <w:rsid w:val="005D53D4"/>
    <w:rsid w:val="005E21EA"/>
    <w:rsid w:val="00624531"/>
    <w:rsid w:val="0064265B"/>
    <w:rsid w:val="00653011"/>
    <w:rsid w:val="006E360B"/>
    <w:rsid w:val="00720B9F"/>
    <w:rsid w:val="007410C9"/>
    <w:rsid w:val="00774D38"/>
    <w:rsid w:val="00793D0A"/>
    <w:rsid w:val="007B4F4B"/>
    <w:rsid w:val="00856E55"/>
    <w:rsid w:val="00865A22"/>
    <w:rsid w:val="00874050"/>
    <w:rsid w:val="00883060"/>
    <w:rsid w:val="008E2DA3"/>
    <w:rsid w:val="009047F2"/>
    <w:rsid w:val="009504BD"/>
    <w:rsid w:val="00981F69"/>
    <w:rsid w:val="009A2F7F"/>
    <w:rsid w:val="00A009EB"/>
    <w:rsid w:val="00A55CB7"/>
    <w:rsid w:val="00AA0E05"/>
    <w:rsid w:val="00AA3046"/>
    <w:rsid w:val="00AA6DB0"/>
    <w:rsid w:val="00AD5F13"/>
    <w:rsid w:val="00AE1C6F"/>
    <w:rsid w:val="00B0517C"/>
    <w:rsid w:val="00B26302"/>
    <w:rsid w:val="00B528E6"/>
    <w:rsid w:val="00B826C6"/>
    <w:rsid w:val="00B876E7"/>
    <w:rsid w:val="00BC16F3"/>
    <w:rsid w:val="00BF5B57"/>
    <w:rsid w:val="00C00BAA"/>
    <w:rsid w:val="00C041A5"/>
    <w:rsid w:val="00C241DF"/>
    <w:rsid w:val="00CB7FD2"/>
    <w:rsid w:val="00CD593C"/>
    <w:rsid w:val="00CE04AB"/>
    <w:rsid w:val="00D109BF"/>
    <w:rsid w:val="00E0715C"/>
    <w:rsid w:val="00E13B12"/>
    <w:rsid w:val="00E7102D"/>
    <w:rsid w:val="00E75FC5"/>
    <w:rsid w:val="00ED362C"/>
    <w:rsid w:val="00EE4A0F"/>
    <w:rsid w:val="00EE5183"/>
    <w:rsid w:val="00EE7247"/>
    <w:rsid w:val="00F22423"/>
    <w:rsid w:val="00F313BA"/>
    <w:rsid w:val="00F42C54"/>
    <w:rsid w:val="00FA2881"/>
    <w:rsid w:val="00FD5C59"/>
    <w:rsid w:val="00FF0F48"/>
    <w:rsid w:val="05D41312"/>
    <w:rsid w:val="07C2272C"/>
    <w:rsid w:val="0EB816AC"/>
    <w:rsid w:val="130D0238"/>
    <w:rsid w:val="185F1A7C"/>
    <w:rsid w:val="19015053"/>
    <w:rsid w:val="216A2534"/>
    <w:rsid w:val="2223638B"/>
    <w:rsid w:val="2DBB6416"/>
    <w:rsid w:val="30EA404F"/>
    <w:rsid w:val="3BA90740"/>
    <w:rsid w:val="5F0D203D"/>
    <w:rsid w:val="662E75B1"/>
    <w:rsid w:val="66302AB4"/>
    <w:rsid w:val="742A3036"/>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unhideWhenUsed/>
    <w:uiPriority w:val="1"/>
  </w:style>
  <w:style w:type="table" w:default="1" w:styleId="10">
    <w:name w:val="Normal Table"/>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6"/>
    <w:uiPriority w:val="0"/>
    <w:rPr>
      <w:b/>
      <w:bCs/>
    </w:rPr>
  </w:style>
  <w:style w:type="paragraph" w:styleId="3">
    <w:name w:val="annotation text"/>
    <w:basedOn w:val="1"/>
    <w:link w:val="15"/>
    <w:qFormat/>
    <w:uiPriority w:val="0"/>
    <w:pPr>
      <w:jc w:val="left"/>
    </w:pPr>
  </w:style>
  <w:style w:type="paragraph" w:styleId="4">
    <w:name w:val="Balloon Text"/>
    <w:basedOn w:val="1"/>
    <w:link w:val="12"/>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szCs w:val="18"/>
    </w:rPr>
  </w:style>
  <w:style w:type="paragraph" w:styleId="6">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qFormat/>
    <w:uiPriority w:val="0"/>
    <w:rPr>
      <w:color w:val="0000FF"/>
      <w:u w:val="single"/>
    </w:rPr>
  </w:style>
  <w:style w:type="character" w:styleId="9">
    <w:name w:val="annotation reference"/>
    <w:basedOn w:val="7"/>
    <w:qFormat/>
    <w:uiPriority w:val="0"/>
    <w:rPr>
      <w:sz w:val="21"/>
      <w:szCs w:val="21"/>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2">
    <w:name w:val="批注框文本 Char"/>
    <w:basedOn w:val="7"/>
    <w:link w:val="4"/>
    <w:qFormat/>
    <w:uiPriority w:val="0"/>
    <w:rPr>
      <w:kern w:val="2"/>
      <w:sz w:val="18"/>
      <w:szCs w:val="18"/>
    </w:rPr>
  </w:style>
  <w:style w:type="character" w:customStyle="1" w:styleId="13">
    <w:name w:val="页眉 Char"/>
    <w:basedOn w:val="7"/>
    <w:link w:val="6"/>
    <w:qFormat/>
    <w:uiPriority w:val="0"/>
    <w:rPr>
      <w:kern w:val="2"/>
      <w:sz w:val="18"/>
      <w:szCs w:val="18"/>
    </w:rPr>
  </w:style>
  <w:style w:type="character" w:customStyle="1" w:styleId="14">
    <w:name w:val="页脚 Char"/>
    <w:basedOn w:val="7"/>
    <w:link w:val="5"/>
    <w:qFormat/>
    <w:uiPriority w:val="99"/>
    <w:rPr>
      <w:kern w:val="2"/>
      <w:sz w:val="18"/>
      <w:szCs w:val="18"/>
    </w:rPr>
  </w:style>
  <w:style w:type="character" w:customStyle="1" w:styleId="15">
    <w:name w:val="批注文字 Char"/>
    <w:basedOn w:val="7"/>
    <w:link w:val="3"/>
    <w:qFormat/>
    <w:uiPriority w:val="0"/>
    <w:rPr>
      <w:kern w:val="2"/>
      <w:sz w:val="21"/>
      <w:szCs w:val="24"/>
    </w:rPr>
  </w:style>
  <w:style w:type="character" w:customStyle="1" w:styleId="16">
    <w:name w:val="批注主题 Char"/>
    <w:basedOn w:val="15"/>
    <w:link w:val="2"/>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EBDA08-2A76-4DC4-B477-9B52108BDC18}">
  <ds:schemaRefs/>
</ds:datastoreItem>
</file>

<file path=docProps/app.xml><?xml version="1.0" encoding="utf-8"?>
<Properties xmlns="http://schemas.openxmlformats.org/officeDocument/2006/extended-properties" xmlns:vt="http://schemas.openxmlformats.org/officeDocument/2006/docPropsVTypes">
  <Template>Normal.dotm</Template>
  <Company>PC</Company>
  <Pages>12</Pages>
  <Words>3941</Words>
  <Characters>1064</Characters>
  <Lines>8</Lines>
  <Paragraphs>9</Paragraphs>
  <TotalTime>0</TotalTime>
  <ScaleCrop>false</ScaleCrop>
  <LinksUpToDate>false</LinksUpToDate>
  <CharactersWithSpaces>4996</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2016-05-27T03:09:00Z</dcterms:created>
  <dc:creator>xww</dc:creator>
  <cp:lastModifiedBy>Administrator</cp:lastModifiedBy>
  <cp:lastPrinted>2016-05-27T03:10:00Z</cp:lastPrinted>
  <dcterms:modified xsi:type="dcterms:W3CDTF">2016-05-30T06:44:54Z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